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CEAD4">
      <w:pPr>
        <w:spacing w:line="360" w:lineRule="auto"/>
        <w:rPr>
          <w:rFonts w:hint="eastAsia" w:ascii="华文楷体" w:hAnsi="华文楷体" w:eastAsia="华文楷体" w:cs="华文楷体"/>
          <w:b/>
          <w:bCs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</w:rPr>
        <w:t>附件1安宁市第一人民医院健康管理中心超声工作站项目采购需求</w:t>
      </w:r>
    </w:p>
    <w:p w14:paraId="55C93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1、支持按照患者档案号、检查号、姓名、性别、病人来源、病人检查状态、诊断医生、检查日期、检查设备等过滤条件查找符合条件的病人。</w:t>
      </w:r>
    </w:p>
    <w:p w14:paraId="17630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2、支持关键词的模糊查询，如检查所见、检查提示中的关键词查询。</w:t>
      </w:r>
    </w:p>
    <w:p w14:paraId="64EA9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3、查询的结果可以导出为EXCEL表格另外保存。</w:t>
      </w:r>
    </w:p>
    <w:p w14:paraId="1CB79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4、医生只能修改自己的检查报告，不能修改其他医生的检查报告。</w:t>
      </w:r>
    </w:p>
    <w:p w14:paraId="5A40F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5、诊断报告打印后过了病历锁定时间则不能修改。</w:t>
      </w:r>
    </w:p>
    <w:p w14:paraId="515DE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6、专业采集卡，图像采集数量无限制。</w:t>
      </w:r>
    </w:p>
    <w:p w14:paraId="12FE4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7、采集动态影像时能同步采集多普勒音频。</w:t>
      </w:r>
      <w:bookmarkStart w:id="0" w:name="_GoBack"/>
      <w:bookmarkEnd w:id="0"/>
    </w:p>
    <w:p w14:paraId="6A2DA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8、支持动静态采集，采集图像数量不受限制。</w:t>
      </w:r>
    </w:p>
    <w:p w14:paraId="46B6E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9、动态采集支持VCD或者DVD格式压缩。</w:t>
      </w:r>
    </w:p>
    <w:p w14:paraId="193C1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10、支持键盘快捷键采集、命令按钮采集、采集器采集，能将图像采集到缓冲区。</w:t>
      </w:r>
    </w:p>
    <w:p w14:paraId="51DA7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11、支持缓冲区静态、缓冲区动态图像。</w:t>
      </w:r>
    </w:p>
    <w:p w14:paraId="630B8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12、在任意界面下均可以采集病人的图像，不须到特定的窗口采集图像。</w:t>
      </w:r>
    </w:p>
    <w:p w14:paraId="33B4A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13、支持医生口述病历，支持DICOM采集。</w:t>
      </w:r>
    </w:p>
    <w:p w14:paraId="551EB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14、在病历管理、报告编辑、图像处理、打印界面下均可以放大查看与采集当前病人的图像，不须到特定的窗口查看、采集图像。</w:t>
      </w:r>
    </w:p>
    <w:p w14:paraId="6D42F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15、图像可方便地导出。</w:t>
      </w:r>
    </w:p>
    <w:p w14:paraId="1143E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16、多种图像处理工具，如:校准图像、图像文字标识，图像放大缩小、图像截取、图像聚焦、图像测量、RGB通道调色、图像标注、图像翻转等。</w:t>
      </w:r>
    </w:p>
    <w:p w14:paraId="75760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17、动态图像处理功能，如：向后/向前、停止/播放/暂停、单帧播放、采集单帧、播放速度选择等操作；</w:t>
      </w:r>
    </w:p>
    <w:p w14:paraId="1B8A7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18、可以在工作站中制作幻灯片，当前病人的所有图像可一次性加入到幻灯片中，幻灯片中包含病人基本资料，病历图像及检查过程与结论。图像测量中同一图片上的电子尺寸没有限制。</w:t>
      </w:r>
    </w:p>
    <w:p w14:paraId="01628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19、经处理的图像可保存，不可覆盖原图像。</w:t>
      </w:r>
    </w:p>
    <w:p w14:paraId="5F68C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20、可使用常用术语分类描述方式、典型病历术语方式、历史病历方式、正常报告自动生成、正常部位描述自动生成等方式快速打印图文一体报告单。</w:t>
      </w:r>
    </w:p>
    <w:p w14:paraId="5BBFA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21、诊断知识库：系统提供全面、专业的诊断知识库，按检查部位分类。</w:t>
      </w:r>
    </w:p>
    <w:p w14:paraId="750C6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22、知识库结构包括：描述诊断术语、典型病历、正常报告、个人术语库、个人典型病历库。</w:t>
      </w:r>
    </w:p>
    <w:p w14:paraId="0C3D8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23、知识库编辑器：可以添加更新术语，增加典型病例，增加正常病例，增加目录，作废节点，还原节点等操作。</w:t>
      </w:r>
    </w:p>
    <w:p w14:paraId="28512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24、危急值管理：在检查报告的检查提示或检查所见中出现危急病种，就会给予危急病种提示框。</w:t>
      </w:r>
    </w:p>
    <w:p w14:paraId="54F46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25、打印图像的数量、字数、页数没有限制；</w:t>
      </w:r>
    </w:p>
    <w:p w14:paraId="04E70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26、打印的图像，自动排版，打印的图像数量没有限制</w:t>
      </w:r>
    </w:p>
    <w:p w14:paraId="077C7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27、未测量的参数应不在报告单中显示参数名称。</w:t>
      </w:r>
    </w:p>
    <w:p w14:paraId="44BAA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28、报告单能另存为图片文件或PDF文件等，方便输出携带。</w:t>
      </w:r>
    </w:p>
    <w:p w14:paraId="0CF26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29、打印时可切换诊断医生。</w:t>
      </w:r>
    </w:p>
    <w:p w14:paraId="11885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30、可支持诊断提示的自动标号。</w:t>
      </w:r>
    </w:p>
    <w:p w14:paraId="21389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31、若用户对病人有诊断权限，退出报告打印窗体，可自动保存报告</w:t>
      </w:r>
    </w:p>
    <w:p w14:paraId="712B2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32、检查部位的测量参数可以自由设置，设置的项目含参数名、参数简写、参考值范围、测量值。医生可以选择部分或全部参数作为需要输入或打印的项目。</w:t>
      </w:r>
    </w:p>
    <w:p w14:paraId="2D6DB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33、支持测值参数通过DICOM协议自动获取，避免因人为输入引起的错误</w:t>
      </w:r>
    </w:p>
    <w:p w14:paraId="088E0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34、在编辑报告时，可在同一界面中比较当前图像和历史图像的区别。</w:t>
      </w:r>
    </w:p>
    <w:p w14:paraId="6DEE0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35、集中预览或打印报告</w:t>
      </w:r>
    </w:p>
    <w:p w14:paraId="57FBA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rFonts w:hint="eastAsia" w:ascii="华文楷体" w:hAnsi="华文楷体" w:eastAsia="华文楷体" w:cs="华文楷体"/>
          <w:sz w:val="24"/>
          <w:szCs w:val="24"/>
        </w:rPr>
        <w:t>36、通过科室权限设置可以对数据进行分级管理。</w:t>
      </w:r>
    </w:p>
    <w:p w14:paraId="48F4C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华文楷体" w:hAnsi="华文楷体" w:eastAsia="华文楷体" w:cs="华文楷体"/>
          <w:b/>
          <w:bCs/>
          <w:sz w:val="24"/>
          <w:szCs w:val="24"/>
          <w:lang w:val="en-US" w:eastAsia="zh-CN"/>
        </w:rPr>
      </w:pPr>
    </w:p>
    <w:p w14:paraId="5E9A0AD6">
      <w:pPr>
        <w:rPr>
          <w:rFonts w:hint="eastAsia" w:ascii="华文楷体" w:hAnsi="华文楷体" w:eastAsia="华文楷体" w:cs="华文楷体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5E1A"/>
    <w:rsid w:val="020016E9"/>
    <w:rsid w:val="07B964DF"/>
    <w:rsid w:val="097721BC"/>
    <w:rsid w:val="0A43064D"/>
    <w:rsid w:val="0B961788"/>
    <w:rsid w:val="134B1AEF"/>
    <w:rsid w:val="22A52EE6"/>
    <w:rsid w:val="31D60AEC"/>
    <w:rsid w:val="35C35771"/>
    <w:rsid w:val="371119FA"/>
    <w:rsid w:val="38F95B2E"/>
    <w:rsid w:val="40B959C1"/>
    <w:rsid w:val="49AD5F9F"/>
    <w:rsid w:val="4AFB323E"/>
    <w:rsid w:val="4EBD75BF"/>
    <w:rsid w:val="4F0D2FED"/>
    <w:rsid w:val="52D553B1"/>
    <w:rsid w:val="564B37CF"/>
    <w:rsid w:val="583F24EE"/>
    <w:rsid w:val="5CB52971"/>
    <w:rsid w:val="5D3653F5"/>
    <w:rsid w:val="640E52D6"/>
    <w:rsid w:val="66FB1E3C"/>
    <w:rsid w:val="6E7C21DB"/>
    <w:rsid w:val="73723688"/>
    <w:rsid w:val="7FFD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adjustRightInd w:val="0"/>
      <w:snapToGrid w:val="0"/>
      <w:spacing w:after="200"/>
      <w:ind w:firstLine="420" w:firstLineChars="200"/>
      <w:jc w:val="center"/>
    </w:pPr>
    <w:rPr>
      <w:rFonts w:ascii="Tahoma" w:hAnsi="Tahoma" w:eastAsia="微软雅黑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</Words>
  <Characters>29</Characters>
  <Lines>0</Lines>
  <Paragraphs>0</Paragraphs>
  <TotalTime>0</TotalTime>
  <ScaleCrop>false</ScaleCrop>
  <LinksUpToDate>false</LinksUpToDate>
  <CharactersWithSpaces>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2025-05-15T06:55:55Z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6D997BA81DB64119A9900CE3B13D7180_12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