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4DC5B7">
      <w:pPr>
        <w:tabs>
          <w:tab w:val="left" w:pos="4176"/>
        </w:tabs>
        <w:snapToGrid w:val="0"/>
        <w:spacing w:line="360" w:lineRule="auto"/>
        <w:rPr>
          <w:rFonts w:hint="eastAsia" w:ascii="华文楷体" w:hAnsi="华文楷体" w:eastAsia="华文楷体" w:cs="华文楷体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华文楷体" w:hAnsi="华文楷体" w:eastAsia="华文楷体" w:cs="华文楷体"/>
          <w:b/>
          <w:bCs/>
          <w:color w:val="auto"/>
          <w:sz w:val="28"/>
          <w:szCs w:val="28"/>
          <w:highlight w:val="none"/>
          <w:lang w:val="en-US" w:eastAsia="zh-CN"/>
        </w:rPr>
        <w:t>附件4安宁市第一人民医院特殊肺功能模块（支气管激发试验）项目评分标准</w:t>
      </w:r>
    </w:p>
    <w:tbl>
      <w:tblPr>
        <w:tblStyle w:val="5"/>
        <w:tblpPr w:leftFromText="180" w:rightFromText="180" w:vertAnchor="text" w:horzAnchor="margin" w:tblpXSpec="center" w:tblpY="95"/>
        <w:tblW w:w="109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4"/>
        <w:gridCol w:w="1277"/>
        <w:gridCol w:w="731"/>
        <w:gridCol w:w="8195"/>
      </w:tblGrid>
      <w:tr w14:paraId="1A6A3E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9C54B1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  <w:t>序号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FB03B6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  <w:t>评审内容</w:t>
            </w:r>
          </w:p>
        </w:tc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288F36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  <w:t>满分</w:t>
            </w:r>
          </w:p>
        </w:tc>
        <w:tc>
          <w:tcPr>
            <w:tcW w:w="8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57E316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510"/>
              <w:jc w:val="center"/>
              <w:textAlignment w:val="auto"/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  <w:t>评分标准</w:t>
            </w:r>
          </w:p>
        </w:tc>
      </w:tr>
      <w:tr w14:paraId="64FB1F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AE720C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  <w:t>1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403F28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  <w:t>最终报价评审</w:t>
            </w:r>
          </w:p>
        </w:tc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1E6E14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  <w:t>30分</w:t>
            </w:r>
          </w:p>
        </w:tc>
        <w:tc>
          <w:tcPr>
            <w:tcW w:w="8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B27047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both"/>
              <w:textAlignment w:val="auto"/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  <w:t>有效投标报价得分=（评标基准价/扣除后投标报价）×30。</w:t>
            </w:r>
          </w:p>
          <w:p w14:paraId="21E516F1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both"/>
              <w:textAlignment w:val="auto"/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  <w:t>注：</w:t>
            </w:r>
            <w:bookmarkStart w:id="0" w:name="_GoBack"/>
            <w:bookmarkEnd w:id="0"/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  <w:t>评标基准价为有效报价中的最低价；</w:t>
            </w:r>
          </w:p>
        </w:tc>
      </w:tr>
      <w:tr w14:paraId="00BEC7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DE6651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val="en-US" w:eastAsia="zh-CN" w:bidi="ar"/>
              </w:rPr>
              <w:t>2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6C0966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val="en-US" w:eastAsia="zh-CN" w:bidi="ar"/>
              </w:rPr>
              <w:t>设备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  <w:t>参数的响应程度</w:t>
            </w:r>
          </w:p>
        </w:tc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28ABB9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val="en-US" w:eastAsia="zh-CN" w:bidi="ar"/>
              </w:rPr>
              <w:t>35分</w:t>
            </w:r>
          </w:p>
        </w:tc>
        <w:tc>
          <w:tcPr>
            <w:tcW w:w="8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54D7E3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/>
              <w:jc w:val="both"/>
              <w:textAlignment w:val="auto"/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  <w:t>设备符合国家相关标准、规范及技术进步状况，有相应的证明文件。</w:t>
            </w:r>
          </w:p>
          <w:p w14:paraId="45398F6A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480" w:firstLineChars="200"/>
              <w:jc w:val="both"/>
              <w:textAlignment w:val="auto"/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val="en-US" w:bidi="ar"/>
              </w:rPr>
            </w:pP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val="en-US" w:bidi="ar"/>
              </w:rPr>
              <w:t>技术性能评审基准分为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val="en-US" w:eastAsia="zh-CN" w:bidi="ar"/>
              </w:rPr>
              <w:t>35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val="en-US" w:bidi="ar"/>
              </w:rPr>
              <w:t>分；</w:t>
            </w:r>
          </w:p>
          <w:p w14:paraId="1D966B1D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480" w:firstLineChars="200"/>
              <w:jc w:val="both"/>
              <w:textAlignment w:val="auto"/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val="en-US" w:bidi="ar"/>
              </w:rPr>
            </w:pP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val="en-US" w:bidi="ar"/>
              </w:rPr>
              <w:t>①存在正偏离的：所有的技术性能参数存在正偏离均不加分。</w:t>
            </w:r>
          </w:p>
          <w:p w14:paraId="28C605DB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480" w:firstLineChars="200"/>
              <w:jc w:val="both"/>
              <w:textAlignment w:val="auto"/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val="en-US" w:bidi="ar"/>
              </w:rPr>
            </w:pP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val="en-US" w:bidi="ar"/>
              </w:rPr>
              <w:t>②存在负偏离的：每存在一项负偏离扣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val="en-US" w:eastAsia="zh-CN" w:bidi="ar"/>
              </w:rPr>
              <w:t>3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val="en-US" w:bidi="ar"/>
              </w:rPr>
              <w:t>分/项，扣至0分为止。</w:t>
            </w:r>
          </w:p>
          <w:p w14:paraId="0F2B9250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480" w:firstLineChars="200"/>
              <w:jc w:val="both"/>
              <w:textAlignment w:val="auto"/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val="en-US" w:bidi="ar"/>
              </w:rPr>
              <w:t>注：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val="en-US" w:eastAsia="zh-CN" w:bidi="ar"/>
              </w:rPr>
              <w:t>技术参数弄虚作假的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val="en-US" w:bidi="ar"/>
              </w:rPr>
              <w:t>，此项可以得0分。</w:t>
            </w:r>
          </w:p>
        </w:tc>
      </w:tr>
      <w:tr w14:paraId="6A65A0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0DF0A2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val="en-US" w:eastAsia="zh-CN" w:bidi="ar"/>
              </w:rPr>
              <w:t>3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928290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val="en-US" w:eastAsia="zh-CN" w:bidi="ar"/>
              </w:rPr>
              <w:t>类似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  <w:t>业绩</w:t>
            </w:r>
          </w:p>
        </w:tc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8F8E4B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val="en-US" w:eastAsia="zh-CN" w:bidi="ar"/>
              </w:rPr>
              <w:t>5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  <w:t>分</w:t>
            </w:r>
          </w:p>
        </w:tc>
        <w:tc>
          <w:tcPr>
            <w:tcW w:w="8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785D98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both"/>
              <w:textAlignment w:val="auto"/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  <w:t>供应商近三年(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eastAsia="zh-CN" w:bidi="ar"/>
              </w:rPr>
              <w:t>202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val="en-US" w:eastAsia="zh-CN" w:bidi="ar"/>
              </w:rPr>
              <w:t>1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  <w:t>年01月01日至今)每有一个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val="en-US" w:eastAsia="zh-CN" w:bidi="ar"/>
              </w:rPr>
              <w:t>类似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  <w:t>供货业绩且提供证明材料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val="en-US" w:eastAsia="zh-CN" w:bidi="ar"/>
              </w:rPr>
              <w:t>的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  <w:t>得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val="en-US" w:eastAsia="zh-CN" w:bidi="ar"/>
              </w:rPr>
              <w:t>1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  <w:t>分。加满为止。</w:t>
            </w:r>
          </w:p>
          <w:p w14:paraId="77F42538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both"/>
              <w:textAlignment w:val="auto"/>
              <w:rPr>
                <w:rFonts w:hint="default" w:ascii="华文楷体" w:hAnsi="华文楷体" w:eastAsia="华文楷体" w:cs="华文楷体"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  <w:t>注：证明材料以提供的合同为准，要求必须提供至少包含与最终用户签订的合同首页、合同主要内容页及签字盖章页复印件作为证明。未按规定提供业绩证明材料者不得分。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val="en-US" w:eastAsia="zh-CN" w:bidi="ar"/>
              </w:rPr>
              <w:t>(有效业绩需与本项目采购内容相同业绩)</w:t>
            </w:r>
          </w:p>
        </w:tc>
      </w:tr>
      <w:tr w14:paraId="11ECA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EEE7FA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val="en-US" w:eastAsia="zh-CN" w:bidi="ar"/>
              </w:rPr>
              <w:t>4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421C19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  <w:t>供货实施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val="en-US" w:eastAsia="zh-CN" w:bidi="ar"/>
              </w:rPr>
              <w:t>服务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  <w:t>方案</w:t>
            </w:r>
          </w:p>
        </w:tc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DC99C7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val="en-US" w:eastAsia="zh-CN" w:bidi="ar"/>
              </w:rPr>
              <w:t>1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  <w:t>0分</w:t>
            </w:r>
          </w:p>
        </w:tc>
        <w:tc>
          <w:tcPr>
            <w:tcW w:w="8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76EDC4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both"/>
              <w:textAlignment w:val="auto"/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  <w:t>①供货方案包含设备配置及选型、供货进度计划、</w:t>
            </w:r>
            <w:r>
              <w:rPr>
                <w:rFonts w:hint="eastAsia" w:ascii="华文楷体" w:hAnsi="华文楷体" w:eastAsia="华文楷体" w:cs="华文楷体"/>
                <w:bCs/>
                <w:color w:val="000000"/>
                <w:sz w:val="24"/>
                <w:szCs w:val="24"/>
                <w:highlight w:val="none"/>
                <w:lang w:bidi="ar"/>
              </w:rPr>
              <w:t>安装调试方案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  <w:t>、安全保障措施等优于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eastAsia="zh-CN" w:bidi="ar"/>
              </w:rPr>
              <w:t>医院采购需求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  <w:t>，实施方案的各个实施环节描述详细、完善可行，且能够针对本项目向采购人提出合理性建议，技术先进、成熟、可靠的，得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val="en-US" w:eastAsia="zh-CN" w:bidi="ar"/>
              </w:rPr>
              <w:t>9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  <w:t>-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val="en-US" w:eastAsia="zh-CN" w:bidi="ar"/>
              </w:rPr>
              <w:t>10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  <w:t>分；</w:t>
            </w:r>
          </w:p>
          <w:p w14:paraId="1BF86CA9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both"/>
              <w:textAlignment w:val="auto"/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  <w:t>②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  <w:t>供货方案包含设备配置及选型、供货进度计划、</w:t>
            </w:r>
            <w:r>
              <w:rPr>
                <w:rFonts w:hint="eastAsia" w:ascii="华文楷体" w:hAnsi="华文楷体" w:eastAsia="华文楷体" w:cs="华文楷体"/>
                <w:bCs/>
                <w:color w:val="000000"/>
                <w:sz w:val="24"/>
                <w:szCs w:val="24"/>
                <w:highlight w:val="none"/>
                <w:lang w:bidi="ar"/>
              </w:rPr>
              <w:t>安装调试方案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  <w:t>、安全保障措施等完全满足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eastAsia="zh-CN" w:bidi="ar"/>
              </w:rPr>
              <w:t>医院采购需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  <w:t>求，实施方案合理可行，但实施环节描述较为详细，也能够针对本项目在响应文件中向采购人提出建议的，得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val="en-US" w:eastAsia="zh-CN" w:bidi="ar"/>
              </w:rPr>
              <w:t>6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  <w:t>-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val="en-US" w:eastAsia="zh-CN" w:bidi="ar"/>
              </w:rPr>
              <w:t>8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  <w:t>分；</w:t>
            </w:r>
          </w:p>
          <w:p w14:paraId="44C7C558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both"/>
              <w:textAlignment w:val="auto"/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  <w:t>③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  <w:t>供货方案包含设备配置及选型、供货进度计划、</w:t>
            </w:r>
            <w:r>
              <w:rPr>
                <w:rFonts w:hint="eastAsia" w:ascii="华文楷体" w:hAnsi="华文楷体" w:eastAsia="华文楷体" w:cs="华文楷体"/>
                <w:bCs/>
                <w:color w:val="000000"/>
                <w:sz w:val="24"/>
                <w:szCs w:val="24"/>
                <w:highlight w:val="none"/>
                <w:lang w:bidi="ar"/>
              </w:rPr>
              <w:t>安装调试方案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  <w:t>、安全保障措施等基本满足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eastAsia="zh-CN" w:bidi="ar"/>
              </w:rPr>
              <w:t>医院采购需求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  <w:t>，实施方案各个实施环节描述一般，能够针对本项目在响应文件中向采购人提出建议的，得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val="en-US" w:eastAsia="zh-CN" w:bidi="ar"/>
              </w:rPr>
              <w:t>3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  <w:t>-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val="en-US" w:eastAsia="zh-CN" w:bidi="ar"/>
              </w:rPr>
              <w:t>5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  <w:t>分；</w:t>
            </w:r>
          </w:p>
          <w:p w14:paraId="40B3A813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both"/>
              <w:textAlignment w:val="auto"/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  <w:t>④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  <w:t>供货方案包含设备配置及选型、供货进度计划、安装方法、安全保障措施等能满足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eastAsia="zh-CN" w:bidi="ar"/>
              </w:rPr>
              <w:t>医院采购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  <w:t>要求，但实施方案无特点或执行环节上有漏缺，但不影响本项目的实施的，得1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val="en-US" w:eastAsia="zh-CN" w:bidi="ar"/>
              </w:rPr>
              <w:t>-2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  <w:t>分；</w:t>
            </w:r>
          </w:p>
          <w:p w14:paraId="35B080D1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both"/>
              <w:textAlignment w:val="auto"/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val="en-US" w:eastAsia="zh-CN" w:bidi="ar"/>
              </w:rPr>
              <w:t>⑤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  <w:t>未提供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  <w:t>供货方案，且实施方案描述存在重大漏项的，得0分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eastAsia="zh-CN" w:bidi="ar"/>
              </w:rPr>
              <w:t>。</w:t>
            </w:r>
          </w:p>
        </w:tc>
      </w:tr>
      <w:tr w14:paraId="33EA68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0B3139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val="en-US" w:eastAsia="zh-CN" w:bidi="ar"/>
              </w:rPr>
              <w:t>5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4C041A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sz w:val="24"/>
                <w:szCs w:val="24"/>
                <w:highlight w:val="none"/>
              </w:rPr>
              <w:t>质量承诺及措施</w:t>
            </w:r>
          </w:p>
        </w:tc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5A3493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华文楷体" w:hAnsi="华文楷体" w:eastAsia="华文楷体" w:cs="华文楷体"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  <w:t>5</w:t>
            </w:r>
            <w:r>
              <w:rPr>
                <w:rFonts w:hint="eastAsia" w:ascii="华文楷体" w:hAnsi="华文楷体" w:eastAsia="华文楷体" w:cs="华文楷体"/>
                <w:bCs/>
                <w:color w:val="000000"/>
                <w:sz w:val="24"/>
                <w:szCs w:val="24"/>
                <w:highlight w:val="none"/>
              </w:rPr>
              <w:t>分</w:t>
            </w:r>
          </w:p>
        </w:tc>
        <w:tc>
          <w:tcPr>
            <w:tcW w:w="8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2B04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left"/>
              <w:textAlignment w:val="auto"/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  <w:t>按供应商提供的质保期长短，所提供的质保承诺详细程度，质保措施合理程度且质量管理体系的完善程度打分：</w:t>
            </w:r>
          </w:p>
          <w:p w14:paraId="1BD3E1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left"/>
              <w:textAlignment w:val="auto"/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  <w:t>①质保期优于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eastAsia="zh-CN" w:bidi="ar"/>
              </w:rPr>
              <w:t>医院采购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  <w:t>要求，质保承诺详细全面，质保措施合理可行，质量管理体系完善且附有详细可操作的质保违约承诺及措施的，得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val="en-US" w:eastAsia="zh-CN" w:bidi="ar"/>
              </w:rPr>
              <w:t>4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  <w:t>-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val="en-US" w:eastAsia="zh-CN" w:bidi="ar"/>
              </w:rPr>
              <w:t>5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  <w:t>分；</w:t>
            </w:r>
          </w:p>
          <w:p w14:paraId="7CDB04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left"/>
              <w:textAlignment w:val="auto"/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  <w:t>②质保期满足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eastAsia="zh-CN" w:bidi="ar"/>
              </w:rPr>
              <w:t>医院采购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  <w:t>要求，有质保承诺、质保措施、质量管理体系，有质保违约承诺及措施且无缺陷的，得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val="en-US" w:eastAsia="zh-CN" w:bidi="ar"/>
              </w:rPr>
              <w:t>2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  <w:t>-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val="en-US" w:eastAsia="zh-CN" w:bidi="ar"/>
              </w:rPr>
              <w:t>3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  <w:t>分；</w:t>
            </w:r>
          </w:p>
          <w:p w14:paraId="4D9A4D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left"/>
              <w:textAlignment w:val="auto"/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  <w:t>③质保期满足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eastAsia="zh-CN" w:bidi="ar"/>
              </w:rPr>
              <w:t>医院采购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  <w:t>要求，但质量承诺、质保措施、质量管理体系、违约承诺存在缺陷的，得1分。</w:t>
            </w:r>
          </w:p>
          <w:p w14:paraId="484CB2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left"/>
              <w:textAlignment w:val="auto"/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  <w:t>④质保期不满足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eastAsia="zh-CN" w:bidi="ar"/>
              </w:rPr>
              <w:t>医院采购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  <w:t>要求或未提供质保承诺或方案存在重大缺陷的，得0分。</w:t>
            </w:r>
          </w:p>
        </w:tc>
      </w:tr>
      <w:tr w14:paraId="3E65B6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08B00E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val="en-US" w:eastAsia="zh-CN" w:bidi="ar"/>
              </w:rPr>
              <w:t>6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B77B63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华文楷体" w:hAnsi="华文楷体" w:eastAsia="华文楷体" w:cs="华文楷体"/>
                <w:color w:val="0D0D0D"/>
                <w:sz w:val="24"/>
                <w:szCs w:val="24"/>
                <w:highlight w:val="none"/>
              </w:rPr>
              <w:t>售后服务承诺及措施</w:t>
            </w:r>
          </w:p>
        </w:tc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FB52AA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华文楷体" w:hAnsi="华文楷体" w:eastAsia="华文楷体" w:cs="华文楷体"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  <w:t>10</w:t>
            </w:r>
            <w:r>
              <w:rPr>
                <w:rFonts w:hint="eastAsia" w:ascii="华文楷体" w:hAnsi="华文楷体" w:eastAsia="华文楷体" w:cs="华文楷体"/>
                <w:bCs/>
                <w:color w:val="000000"/>
                <w:sz w:val="24"/>
                <w:szCs w:val="24"/>
                <w:highlight w:val="none"/>
              </w:rPr>
              <w:t>分</w:t>
            </w:r>
          </w:p>
        </w:tc>
        <w:tc>
          <w:tcPr>
            <w:tcW w:w="8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6F29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left"/>
              <w:textAlignment w:val="auto"/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  <w:t>按供应商提供的售后服务响应时间等售后服务体系、违约承诺及措施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val="en-US" w:eastAsia="zh-CN" w:bidi="ar"/>
              </w:rPr>
              <w:t>等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  <w:t>售后服务体系打分：</w:t>
            </w:r>
          </w:p>
          <w:p w14:paraId="03D337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left"/>
              <w:textAlignment w:val="auto"/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  <w:t>①售后服务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val="en-US" w:eastAsia="zh-CN" w:bidi="ar"/>
              </w:rPr>
              <w:t>响应时间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  <w:t>优于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eastAsia="zh-CN" w:bidi="ar"/>
              </w:rPr>
              <w:t>医院采购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  <w:t>要求，售后方案全面详细，可操作性强且附有详细可操作的违约承诺及措施的，得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val="en-US" w:eastAsia="zh-CN" w:bidi="ar"/>
              </w:rPr>
              <w:t>8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  <w:t>-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val="en-US" w:eastAsia="zh-CN" w:bidi="ar"/>
              </w:rPr>
              <w:t>10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  <w:t>分；</w:t>
            </w:r>
          </w:p>
          <w:p w14:paraId="32D7A3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left"/>
              <w:textAlignment w:val="auto"/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  <w:t>②售后服务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val="en-US" w:eastAsia="zh-CN" w:bidi="ar"/>
              </w:rPr>
              <w:t>响应时间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  <w:t>满足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eastAsia="zh-CN" w:bidi="ar"/>
              </w:rPr>
              <w:t>医院采购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  <w:t>要求，有售后方案、有违约承诺及措施且无重大缺陷的，得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val="en-US" w:eastAsia="zh-CN" w:bidi="ar"/>
              </w:rPr>
              <w:t>4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  <w:t>-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val="en-US" w:eastAsia="zh-CN" w:bidi="ar"/>
              </w:rPr>
              <w:t>7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  <w:t>分；</w:t>
            </w:r>
          </w:p>
          <w:p w14:paraId="539B2A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left"/>
              <w:textAlignment w:val="auto"/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  <w:t>③售后服务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val="en-US" w:eastAsia="zh-CN" w:bidi="ar"/>
              </w:rPr>
              <w:t>响应时间基本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  <w:t>满足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eastAsia="zh-CN" w:bidi="ar"/>
              </w:rPr>
              <w:t>医院采购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  <w:t>要求，但售后方案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eastAsia="zh-CN" w:bidi="ar"/>
              </w:rPr>
              <w:t>、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val="en-US" w:eastAsia="zh-CN" w:bidi="ar"/>
              </w:rPr>
              <w:t>违约承诺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  <w:t>及措施存在缺陷的，得1-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val="en-US" w:eastAsia="zh-CN" w:bidi="ar"/>
              </w:rPr>
              <w:t>3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  <w:t>分。</w:t>
            </w:r>
          </w:p>
          <w:p w14:paraId="77A07F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left"/>
              <w:textAlignment w:val="auto"/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  <w:t>④售后服务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val="en-US" w:eastAsia="zh-CN" w:bidi="ar"/>
              </w:rPr>
              <w:t>响应时间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  <w:t>不满足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eastAsia="zh-CN" w:bidi="ar"/>
              </w:rPr>
              <w:t>医院采购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  <w:t>要求或未提供售后承诺或方案存在重大缺陷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val="en-US" w:eastAsia="zh-CN" w:bidi="ar"/>
              </w:rPr>
              <w:t>或未提供违约承诺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  <w:t>的，得0分。</w:t>
            </w:r>
          </w:p>
        </w:tc>
      </w:tr>
      <w:tr w14:paraId="5F786C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" w:hRule="atLeast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6A01BA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  <w:t>7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3AA9EF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华文楷体" w:hAnsi="华文楷体" w:eastAsia="华文楷体" w:cs="华文楷体"/>
                <w:bCs/>
                <w:color w:val="000000"/>
                <w:sz w:val="24"/>
                <w:szCs w:val="24"/>
                <w:highlight w:val="none"/>
              </w:rPr>
              <w:t>培训方案</w:t>
            </w:r>
          </w:p>
        </w:tc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A25636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华文楷体" w:hAnsi="华文楷体" w:eastAsia="华文楷体" w:cs="华文楷体"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  <w:t>5</w:t>
            </w:r>
            <w:r>
              <w:rPr>
                <w:rFonts w:hint="eastAsia" w:ascii="华文楷体" w:hAnsi="华文楷体" w:eastAsia="华文楷体" w:cs="华文楷体"/>
                <w:bCs/>
                <w:color w:val="000000"/>
                <w:sz w:val="24"/>
                <w:szCs w:val="24"/>
                <w:highlight w:val="none"/>
              </w:rPr>
              <w:t>分</w:t>
            </w:r>
          </w:p>
        </w:tc>
        <w:tc>
          <w:tcPr>
            <w:tcW w:w="8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5680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left"/>
              <w:textAlignment w:val="auto"/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  <w:t>货物的验收方案、培训方案及相关保障措施。（0-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val="en-US" w:eastAsia="zh-CN" w:bidi="ar"/>
              </w:rPr>
              <w:t>5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  <w:t>分）</w:t>
            </w:r>
          </w:p>
        </w:tc>
      </w:tr>
    </w:tbl>
    <w:p w14:paraId="141B195E">
      <w:pPr>
        <w:keepNext w:val="0"/>
        <w:keepLines w:val="0"/>
        <w:widowControl/>
        <w:suppressLineNumbers w:val="0"/>
        <w:jc w:val="left"/>
      </w:pPr>
    </w:p>
    <w:p w14:paraId="45566C1B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BB3C91"/>
    <w:multiLevelType w:val="multilevel"/>
    <w:tmpl w:val="3EBB3C91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7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Q1ZTc0NDM1ODQ3ZDBmZjVjZDUzNjlmN2Y4ODAwYWEifQ=="/>
  </w:docVars>
  <w:rsids>
    <w:rsidRoot w:val="59CC030D"/>
    <w:rsid w:val="02141D77"/>
    <w:rsid w:val="02691984"/>
    <w:rsid w:val="037472F8"/>
    <w:rsid w:val="03ED346D"/>
    <w:rsid w:val="042E42B8"/>
    <w:rsid w:val="049D3B67"/>
    <w:rsid w:val="05B97511"/>
    <w:rsid w:val="06EE26DA"/>
    <w:rsid w:val="07445592"/>
    <w:rsid w:val="08174DB4"/>
    <w:rsid w:val="085631B5"/>
    <w:rsid w:val="08B03E69"/>
    <w:rsid w:val="09725FF9"/>
    <w:rsid w:val="0A960E3D"/>
    <w:rsid w:val="0AEA18AB"/>
    <w:rsid w:val="0B8E3FFD"/>
    <w:rsid w:val="0BA17532"/>
    <w:rsid w:val="0BDC4F6E"/>
    <w:rsid w:val="0C012C2E"/>
    <w:rsid w:val="0DCF4D92"/>
    <w:rsid w:val="11576F7C"/>
    <w:rsid w:val="1771005C"/>
    <w:rsid w:val="17AE1A29"/>
    <w:rsid w:val="1A306A02"/>
    <w:rsid w:val="1A385198"/>
    <w:rsid w:val="20B4681E"/>
    <w:rsid w:val="20FC5F80"/>
    <w:rsid w:val="21D27278"/>
    <w:rsid w:val="22590C76"/>
    <w:rsid w:val="236953D8"/>
    <w:rsid w:val="23C13183"/>
    <w:rsid w:val="24971F71"/>
    <w:rsid w:val="26010C4D"/>
    <w:rsid w:val="267143DF"/>
    <w:rsid w:val="279D069F"/>
    <w:rsid w:val="299565F5"/>
    <w:rsid w:val="2C5518F5"/>
    <w:rsid w:val="310C4884"/>
    <w:rsid w:val="322F3F12"/>
    <w:rsid w:val="3288404F"/>
    <w:rsid w:val="32B67A1F"/>
    <w:rsid w:val="34CC52D7"/>
    <w:rsid w:val="368E4C2A"/>
    <w:rsid w:val="369D33CF"/>
    <w:rsid w:val="383E384F"/>
    <w:rsid w:val="388042A0"/>
    <w:rsid w:val="38DB60D7"/>
    <w:rsid w:val="3943642A"/>
    <w:rsid w:val="3A8D2B96"/>
    <w:rsid w:val="3CE77152"/>
    <w:rsid w:val="3D946B9A"/>
    <w:rsid w:val="41515F1D"/>
    <w:rsid w:val="41641CA7"/>
    <w:rsid w:val="416430E7"/>
    <w:rsid w:val="41BE5E0E"/>
    <w:rsid w:val="44775D6C"/>
    <w:rsid w:val="451E098A"/>
    <w:rsid w:val="45C87CCF"/>
    <w:rsid w:val="47846D32"/>
    <w:rsid w:val="486D73A7"/>
    <w:rsid w:val="48BA396D"/>
    <w:rsid w:val="491C031D"/>
    <w:rsid w:val="4A1277D9"/>
    <w:rsid w:val="4D1E3BF5"/>
    <w:rsid w:val="4F0007D6"/>
    <w:rsid w:val="4F2953A8"/>
    <w:rsid w:val="4F94559A"/>
    <w:rsid w:val="50EB50F9"/>
    <w:rsid w:val="53B813F1"/>
    <w:rsid w:val="55694DE8"/>
    <w:rsid w:val="56C86934"/>
    <w:rsid w:val="572B7BB5"/>
    <w:rsid w:val="58DF3AAB"/>
    <w:rsid w:val="5943175D"/>
    <w:rsid w:val="596B4E03"/>
    <w:rsid w:val="59CC030D"/>
    <w:rsid w:val="5AD023FF"/>
    <w:rsid w:val="5BBA46B0"/>
    <w:rsid w:val="5DD166EA"/>
    <w:rsid w:val="5F9F0D42"/>
    <w:rsid w:val="5FE3256B"/>
    <w:rsid w:val="61973491"/>
    <w:rsid w:val="62D96C8E"/>
    <w:rsid w:val="63CC153F"/>
    <w:rsid w:val="649E3780"/>
    <w:rsid w:val="64C6798C"/>
    <w:rsid w:val="66D87988"/>
    <w:rsid w:val="677901DF"/>
    <w:rsid w:val="696A6892"/>
    <w:rsid w:val="6ADC556D"/>
    <w:rsid w:val="6B64178A"/>
    <w:rsid w:val="6BA71E32"/>
    <w:rsid w:val="6CC65649"/>
    <w:rsid w:val="6D7E290C"/>
    <w:rsid w:val="6EDD3AFA"/>
    <w:rsid w:val="706563F8"/>
    <w:rsid w:val="71ED62B2"/>
    <w:rsid w:val="727F2737"/>
    <w:rsid w:val="736D264B"/>
    <w:rsid w:val="756F3DFF"/>
    <w:rsid w:val="7689645A"/>
    <w:rsid w:val="7B5A6266"/>
    <w:rsid w:val="7C0261D4"/>
    <w:rsid w:val="7D86730E"/>
    <w:rsid w:val="7FCE315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Arial" w:hAnsi="Arial" w:eastAsia="宋体" w:cs="Times New Roman"/>
      <w:color w:val="000000"/>
      <w:sz w:val="24"/>
      <w:szCs w:val="24"/>
      <w:lang w:val="en-US" w:eastAsia="zh-CN" w:bidi="ar-SA"/>
    </w:rPr>
  </w:style>
  <w:style w:type="paragraph" w:styleId="3">
    <w:name w:val="Body Text"/>
    <w:basedOn w:val="1"/>
    <w:qFormat/>
    <w:uiPriority w:val="0"/>
    <w:pPr>
      <w:spacing w:after="120"/>
    </w:p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 w:line="330" w:lineRule="atLeast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7">
    <w:name w:val="标题 5（有编号）（绿盟科技）"/>
    <w:basedOn w:val="1"/>
    <w:next w:val="8"/>
    <w:autoRedefine/>
    <w:qFormat/>
    <w:uiPriority w:val="0"/>
    <w:pPr>
      <w:keepNext/>
      <w:keepLines/>
      <w:numPr>
        <w:ilvl w:val="4"/>
        <w:numId w:val="1"/>
      </w:numPr>
      <w:tabs>
        <w:tab w:val="left" w:pos="0"/>
      </w:tabs>
      <w:spacing w:before="280" w:after="156" w:line="377" w:lineRule="auto"/>
      <w:jc w:val="left"/>
      <w:outlineLvl w:val="4"/>
    </w:pPr>
    <w:rPr>
      <w:rFonts w:ascii="Arial" w:hAnsi="Arial" w:eastAsia="黑体"/>
      <w:b/>
      <w:kern w:val="0"/>
      <w:sz w:val="24"/>
      <w:szCs w:val="28"/>
    </w:rPr>
  </w:style>
  <w:style w:type="paragraph" w:customStyle="1" w:styleId="8">
    <w:name w:val="正文（绿盟科技）"/>
    <w:next w:val="1"/>
    <w:autoRedefine/>
    <w:qFormat/>
    <w:uiPriority w:val="0"/>
    <w:pPr>
      <w:spacing w:line="300" w:lineRule="auto"/>
    </w:pPr>
    <w:rPr>
      <w:rFonts w:ascii="Arial" w:hAnsi="Arial" w:eastAsia="宋体" w:cs="黑体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1307</Words>
  <Characters>1341</Characters>
  <Lines>0</Lines>
  <Paragraphs>0</Paragraphs>
  <TotalTime>24</TotalTime>
  <ScaleCrop>false</ScaleCrop>
  <LinksUpToDate>false</LinksUpToDate>
  <CharactersWithSpaces>1341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2023-05-19T06:55:00Z</dcterms:created>
  <dc:creator>Administrator</dc:creator>
  <cp:lastModifiedBy>木香</cp:lastModifiedBy>
  <cp:lastPrinted>2024-02-20T07:24:00Z</cp:lastPrinted>
  <dcterms:modified xsi:type="dcterms:W3CDTF">2025-04-22T00:11:34Z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EF91788F010144B392240AFDDBF2DFA7_13</vt:lpwstr>
  </property>
  <property fmtid="{D5CDD505-2E9C-101B-9397-08002B2CF9AE}" pid="4" name="KSOTemplateDocerSaveRecord">
    <vt:lpwstr>eyJoZGlkIjoiN2Q1ZTc0NDM1ODQ3ZDBmZjVjZDUzNjlmN2Y4ODAwYWEiLCJ1c2VySWQiOiIyNTAxMzU4MjAifQ==</vt:lpwstr>
  </property>
</Properties>
</file>