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0B8A1">
      <w:pPr>
        <w:rPr>
          <w:rFonts w:hint="eastAsia" w:ascii="华文楷体" w:hAnsi="华文楷体" w:eastAsia="华文楷体" w:cs="华文楷体"/>
          <w:b/>
          <w:bCs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bCs/>
          <w:sz w:val="28"/>
          <w:szCs w:val="28"/>
        </w:rPr>
        <w:t>附件1安宁市第一人民医院呼吸监护系统升级项目采购需求</w:t>
      </w:r>
    </w:p>
    <w:p w14:paraId="165E03CF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一、监护仪参数要求：</w:t>
      </w:r>
    </w:p>
    <w:p w14:paraId="1503A53C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  多参数监护仪，可用于监护成人；</w:t>
      </w:r>
    </w:p>
    <w:p w14:paraId="6C46124B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  12.1寸TFT型彩色LED显示，彩色高分辨率达800*600,最多7道波形显示，标配触摸屏；</w:t>
      </w:r>
    </w:p>
    <w:p w14:paraId="03E6533F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1.3  具有悬浮报警灯，报警讯息一目了然，即使身处监护仪后侧，依然掌握报警情况；</w:t>
      </w:r>
    </w:p>
    <w:p w14:paraId="6C763FDE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1.4  一体化便携式提手；</w:t>
      </w:r>
    </w:p>
    <w:p w14:paraId="4FB85C40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1.5  整机无风扇设计，零噪声，无吸尘，屏幕5°倾斜，符合人体工程学设计；</w:t>
      </w:r>
    </w:p>
    <w:p w14:paraId="3C7C3E07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1.6  标准配置有以下功能和模块：可监测无创血压(NIBP)/血氧(SpO₂)/脉率(PR)/心电(ECG)/呼吸(RESP)/体温(TEMP)/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有创血压（IBP）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模块；</w:t>
      </w:r>
    </w:p>
    <w:p w14:paraId="40ECB8E3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1.7  3/5导心电测量；</w:t>
      </w:r>
    </w:p>
    <w:p w14:paraId="66E25168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1.8  具备智能导联脱落监测功能，个别导联脱落的情况下仍能保持监护；</w:t>
      </w:r>
    </w:p>
    <w:p w14:paraId="423130E6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1.9  具备ECG多导同步分析功能，同时分析多个心电导联，个别导联干扰情况下仍能准确监测；</w:t>
      </w:r>
    </w:p>
    <w:p w14:paraId="67BE543E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1.10  抗交流电/除颤/电刀等干扰功能，除颤后恢复时间小于10s；</w:t>
      </w:r>
    </w:p>
    <w:p w14:paraId="6F913C32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1.11  具备起搏信号自动识别功能；</w:t>
      </w:r>
    </w:p>
    <w:p w14:paraId="20F8A0D1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1.12  药物浓度计算功能，起搏分析，满足心电监护临床应用；</w:t>
      </w:r>
    </w:p>
    <w:p w14:paraId="0DCE696D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1.13  采用先进弱灌注血氧技术，可示PI血氧灌注指数，有效反映血氧灌注情况；</w:t>
      </w:r>
    </w:p>
    <w:p w14:paraId="41144E01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1.14  NIBP可选择初始充气压力，提升测量的准确性和患者舒适性；</w:t>
      </w:r>
    </w:p>
    <w:p w14:paraId="2691B29F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1.15  具有三级声、光、文字报警，参数报警级别可调；</w:t>
      </w:r>
    </w:p>
    <w:p w14:paraId="6572197D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1.16  具备报警集中设置功能；</w:t>
      </w:r>
    </w:p>
    <w:p w14:paraId="5AE8F0DB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1.17  具备掉电存储功能，当交流电与电池断电时均可保存当前数据心律失常种类≥23 种；</w:t>
      </w:r>
    </w:p>
    <w:p w14:paraId="1F30D652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1.18  具有 ST段分析功能，ST 测量范围达到-2.0mV~+2.0mV 或更宽；</w:t>
      </w:r>
    </w:p>
    <w:p w14:paraId="632F6377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1.19  最多显示1个参数的120小时的压缩和扩展波形，趋势回顾最长120小时，NIBP；</w:t>
      </w:r>
    </w:p>
    <w:p w14:paraId="423CCAB2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1.20  测量回顾不小于7200组，报警事件回顾最长120小时数据，心律失常回顾最长120小时心律失常数据；</w:t>
      </w:r>
    </w:p>
    <w:p w14:paraId="0C5B63FE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1.21  大字体显示界面，标准界面与七导联心电图界面多种显示界面；</w:t>
      </w:r>
    </w:p>
    <w:p w14:paraId="372D3ECB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1.22  心电、呼吸、血压、血氧饱和度、体温涉及的电击防护等级为CF级，以保证患者漏电流的安全；</w:t>
      </w:r>
    </w:p>
    <w:p w14:paraId="706C61B5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1.23  可连接记录仪，对所需波形参数进行打印，记录仪走纸速度6.25mm/s、12.5mm/s、25mm/s</w:t>
      </w:r>
    </w:p>
    <w:p w14:paraId="670094BC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1.24  标配防水血氧探头；</w:t>
      </w:r>
    </w:p>
    <w:p w14:paraId="7A7E27BF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1.25  电源：100-240V交流，50/60Hz最大输入功率0.7-0.3A；</w:t>
      </w:r>
    </w:p>
    <w:p w14:paraId="1C80AD63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1.26  超长待机时间，正常状态满电量工作时间≥8个小时电：导联：5/3导联可选；监护方式：诊断、监护、手术；</w:t>
      </w:r>
    </w:p>
    <w:p w14:paraId="6142BAB0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1.27  心电测量范围：15-300bpm²最大误差：≤±1%bpm；</w:t>
      </w:r>
    </w:p>
    <w:p w14:paraId="6E4EAC11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1.28  分辨率：1bpm(搏/分)率响应：0.05—100Hz；</w:t>
      </w:r>
    </w:p>
    <w:p w14:paraId="3E60EFAB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1.29  增益选择：×1/4（2.5mm/mV）、×1/2（5mm/mV）、×1（10mm/mV）、×2（20mm/mV）、</w:t>
      </w:r>
    </w:p>
    <w:p w14:paraId="4FEB1313">
      <w:p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×4（40mm/mV）、自动时间基准具有6.25mm/s、12.5mm/s、25mm/s、50mm/s四种可选；</w:t>
      </w:r>
    </w:p>
    <w:p w14:paraId="295FC84C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1.30  无创血压：测量方法：振荡平均法0～300mmHg测量范围：成人/儿童/新生儿；测量方式:手动/连续／自动（1min、2min、2.5min、5min、10min、15min、30min、1h、2h、4h、8h 可调)；</w:t>
      </w:r>
    </w:p>
    <w:p w14:paraId="259C1B16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1.31  有创血压：测量范围：-50mmHg～300mmHg测量精度：±2%或者1mmHg分辨率：1mmHg；脉率精准确度：在 30-300bmp测量范围内准确度为±2bpm 或±2%；</w:t>
      </w:r>
    </w:p>
    <w:p w14:paraId="5213B6D6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配置要求：</w:t>
      </w:r>
    </w:p>
    <w:p w14:paraId="1E5129C0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2.1  监护仪型号匹配科室目前的监护中央站/工作站；</w:t>
      </w:r>
    </w:p>
    <w:p w14:paraId="00214267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2.2  监护仪数量2台；配监护仪支架2套及墙体安装；</w:t>
      </w:r>
    </w:p>
    <w:p w14:paraId="2A330A2E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2.3  重点解决现在病区监护系统无线连接不稳定的问题，并进行包括WiFi系统在内的升级和线路问题；</w:t>
      </w:r>
    </w:p>
    <w:p w14:paraId="0E020987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2.4  75寸以上大屏显示器2套和支架及墙体安装和HDMI输出线路连接。</w:t>
      </w:r>
    </w:p>
    <w:p w14:paraId="1355AAF2">
      <w:pPr>
        <w:rPr>
          <w:rFonts w:hint="eastAsia" w:ascii="华文楷体" w:hAnsi="华文楷体" w:eastAsia="华文楷体" w:cs="华文楷体"/>
          <w:b/>
          <w:bCs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533DBF"/>
    <w:multiLevelType w:val="singleLevel"/>
    <w:tmpl w:val="8A533DB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5E1A"/>
    <w:rsid w:val="020016E9"/>
    <w:rsid w:val="028F1FB5"/>
    <w:rsid w:val="07B964DF"/>
    <w:rsid w:val="097721BC"/>
    <w:rsid w:val="0A43064D"/>
    <w:rsid w:val="0B961788"/>
    <w:rsid w:val="134B1AEF"/>
    <w:rsid w:val="1F1C1BCF"/>
    <w:rsid w:val="22A52EE6"/>
    <w:rsid w:val="34142C4F"/>
    <w:rsid w:val="35C35771"/>
    <w:rsid w:val="371119FA"/>
    <w:rsid w:val="38F95B2E"/>
    <w:rsid w:val="40B959C1"/>
    <w:rsid w:val="49AD5F9F"/>
    <w:rsid w:val="4AFB323E"/>
    <w:rsid w:val="4EBD75BF"/>
    <w:rsid w:val="4F0D2FED"/>
    <w:rsid w:val="52D553B1"/>
    <w:rsid w:val="564B37CF"/>
    <w:rsid w:val="583F24EE"/>
    <w:rsid w:val="5CB52971"/>
    <w:rsid w:val="5D3653F5"/>
    <w:rsid w:val="6E7C21DB"/>
    <w:rsid w:val="73723688"/>
    <w:rsid w:val="7739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widowControl w:val="0"/>
      <w:spacing w:before="260" w:after="260" w:line="412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adjustRightInd w:val="0"/>
      <w:snapToGrid w:val="0"/>
      <w:spacing w:after="200"/>
      <w:ind w:firstLine="420" w:firstLineChars="200"/>
      <w:jc w:val="center"/>
    </w:pPr>
    <w:rPr>
      <w:rFonts w:ascii="Tahoma" w:hAnsi="Tahoma" w:eastAsia="微软雅黑" w:cs="Times New Roman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1084</Words>
  <Characters>1370</Characters>
  <Lines>0</Lines>
  <Paragraphs>0</Paragraphs>
  <TotalTime>0</TotalTime>
  <ScaleCrop>false</ScaleCrop>
  <LinksUpToDate>false</LinksUpToDate>
  <CharactersWithSpaces>1377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2023-07-13T06:00:00Z</dcterms:created>
  <dc:creator>Administrator</dc:creator>
  <cp:lastModifiedBy>木香</cp:lastModifiedBy>
  <dcterms:modified xsi:type="dcterms:W3CDTF">2025-05-13T04:06:17Z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6D997BA81DB64119A9900CE3B13D7180_12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