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1D0462">
      <w:pPr>
        <w:tabs>
          <w:tab w:val="left" w:pos="4176"/>
        </w:tabs>
        <w:snapToGrid w:val="0"/>
        <w:spacing w:line="360" w:lineRule="auto"/>
        <w:rPr>
          <w:rFonts w:hint="eastAsia" w:ascii="华文楷体" w:hAnsi="华文楷体" w:eastAsia="华文楷体" w:cs="华文楷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华文楷体" w:hAnsi="华文楷体" w:eastAsia="华文楷体" w:cs="华文楷体"/>
          <w:b/>
          <w:bCs/>
          <w:color w:val="auto"/>
          <w:sz w:val="28"/>
          <w:szCs w:val="28"/>
          <w:highlight w:val="none"/>
          <w:lang w:val="en-US" w:eastAsia="zh-CN"/>
        </w:rPr>
        <w:t>附件4：安宁市第一人民医院（金方院区）互联网专线</w:t>
      </w:r>
      <w:bookmarkStart w:id="0" w:name="_GoBack"/>
      <w:bookmarkEnd w:id="0"/>
      <w:r>
        <w:rPr>
          <w:rFonts w:hint="eastAsia" w:ascii="华文楷体" w:hAnsi="华文楷体" w:eastAsia="华文楷体" w:cs="华文楷体"/>
          <w:b/>
          <w:bCs/>
          <w:color w:val="auto"/>
          <w:sz w:val="28"/>
          <w:szCs w:val="28"/>
          <w:highlight w:val="none"/>
          <w:lang w:val="en-US" w:eastAsia="zh-CN"/>
        </w:rPr>
        <w:t>服务购置项目（2025-2026年度）评分标准</w:t>
      </w:r>
    </w:p>
    <w:p w14:paraId="75C4DC47">
      <w:pPr>
        <w:tabs>
          <w:tab w:val="left" w:pos="4176"/>
        </w:tabs>
        <w:snapToGrid w:val="0"/>
        <w:spacing w:line="360" w:lineRule="auto"/>
        <w:rPr>
          <w:rFonts w:hint="eastAsia" w:ascii="华文楷体" w:hAnsi="华文楷体" w:eastAsia="华文楷体" w:cs="华文楷体"/>
          <w:b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华文楷体" w:hAnsi="华文楷体" w:eastAsia="华文楷体" w:cs="华文楷体"/>
          <w:b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一、</w:t>
      </w:r>
      <w:r>
        <w:rPr>
          <w:rFonts w:hint="eastAsia" w:ascii="华文楷体" w:hAnsi="华文楷体" w:eastAsia="华文楷体" w:cs="华文楷体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价格部分评分办法（满分</w:t>
      </w:r>
      <w:r>
        <w:rPr>
          <w:rFonts w:hint="eastAsia" w:ascii="华文楷体" w:hAnsi="华文楷体" w:eastAsia="华文楷体" w:cs="华文楷体"/>
          <w:b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hint="eastAsia" w:ascii="华文楷体" w:hAnsi="华文楷体" w:eastAsia="华文楷体" w:cs="华文楷体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分）</w:t>
      </w:r>
      <w:r>
        <w:rPr>
          <w:rFonts w:hint="eastAsia" w:ascii="华文楷体" w:hAnsi="华文楷体" w:eastAsia="华文楷体" w:cs="华文楷体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ab/>
      </w:r>
    </w:p>
    <w:p w14:paraId="4DDFB257">
      <w:pPr>
        <w:snapToGrid w:val="0"/>
        <w:spacing w:line="360" w:lineRule="auto"/>
        <w:ind w:firstLine="480" w:firstLineChars="200"/>
        <w:rPr>
          <w:rFonts w:hint="eastAsia" w:ascii="华文楷体" w:hAnsi="华文楷体" w:eastAsia="华文楷体" w:cs="华文楷体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楷体" w:hAnsi="华文楷体" w:eastAsia="华文楷体" w:cs="华文楷体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1、</w:t>
      </w:r>
      <w:r>
        <w:rPr>
          <w:rFonts w:hint="eastAsia" w:ascii="华文楷体" w:hAnsi="华文楷体" w:eastAsia="华文楷体" w:cs="华文楷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采用低价优先法计算，即通过本项目</w:t>
      </w:r>
      <w:r>
        <w:rPr>
          <w:rFonts w:hint="eastAsia" w:ascii="华文楷体" w:hAnsi="华文楷体" w:eastAsia="华文楷体" w:cs="华文楷体"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资格审查及</w:t>
      </w:r>
      <w:r>
        <w:rPr>
          <w:rFonts w:hint="eastAsia" w:ascii="华文楷体" w:hAnsi="华文楷体" w:eastAsia="华文楷体" w:cs="华文楷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符合性审查且投标价格最低的</w:t>
      </w:r>
      <w:r>
        <w:rPr>
          <w:rFonts w:hint="eastAsia" w:ascii="华文楷体" w:hAnsi="华文楷体" w:eastAsia="华文楷体" w:cs="华文楷体"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谈判报价</w:t>
      </w:r>
      <w:r>
        <w:rPr>
          <w:rFonts w:hint="eastAsia" w:ascii="华文楷体" w:hAnsi="华文楷体" w:eastAsia="华文楷体" w:cs="华文楷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为评标基准价，其价格分为满分即</w:t>
      </w:r>
      <w:r>
        <w:rPr>
          <w:rFonts w:hint="eastAsia" w:ascii="华文楷体" w:hAnsi="华文楷体" w:eastAsia="华文楷体" w:cs="华文楷体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hint="eastAsia" w:ascii="华文楷体" w:hAnsi="华文楷体" w:eastAsia="华文楷体" w:cs="华文楷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分。其他</w:t>
      </w:r>
      <w:r>
        <w:rPr>
          <w:rFonts w:hint="eastAsia" w:ascii="华文楷体" w:hAnsi="华文楷体" w:eastAsia="华文楷体" w:cs="华文楷体"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谈判</w:t>
      </w:r>
      <w:r>
        <w:rPr>
          <w:rFonts w:hint="eastAsia" w:ascii="华文楷体" w:hAnsi="华文楷体" w:eastAsia="华文楷体" w:cs="华文楷体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申请人的价格分统一按照下列公式计算：</w:t>
      </w:r>
    </w:p>
    <w:p w14:paraId="6AB61586">
      <w:pPr>
        <w:snapToGrid w:val="0"/>
        <w:spacing w:line="360" w:lineRule="auto"/>
        <w:ind w:firstLine="480" w:firstLineChars="200"/>
        <w:rPr>
          <w:rFonts w:hint="eastAsia" w:ascii="华文楷体" w:hAnsi="华文楷体" w:eastAsia="华文楷体" w:cs="华文楷体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楷体" w:hAnsi="华文楷体" w:eastAsia="华文楷体" w:cs="华文楷体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谈判报价得分=（评标基准价／最终谈判报价)×30；</w:t>
      </w:r>
    </w:p>
    <w:p w14:paraId="1BF5117C">
      <w:pPr>
        <w:spacing w:line="360" w:lineRule="auto"/>
        <w:rPr>
          <w:rFonts w:hint="eastAsia" w:ascii="华文楷体" w:hAnsi="华文楷体" w:eastAsia="华文楷体" w:cs="华文楷体"/>
          <w:b w:val="0"/>
          <w:bCs w:val="0"/>
          <w:color w:val="000000" w:themeColor="text1"/>
          <w:kern w:val="2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华文楷体" w:hAnsi="华文楷体" w:eastAsia="华文楷体" w:cs="华文楷体"/>
          <w:b/>
          <w:bCs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二、技术</w:t>
      </w:r>
      <w:r>
        <w:rPr>
          <w:rFonts w:hint="eastAsia" w:ascii="华文楷体" w:hAnsi="华文楷体" w:eastAsia="华文楷体" w:cs="华文楷体"/>
          <w:b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商务部分：（满分</w:t>
      </w:r>
      <w:r>
        <w:rPr>
          <w:rFonts w:hint="eastAsia" w:ascii="华文楷体" w:hAnsi="华文楷体" w:eastAsia="华文楷体" w:cs="华文楷体"/>
          <w:b/>
          <w:bCs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70</w:t>
      </w:r>
      <w:r>
        <w:rPr>
          <w:rFonts w:hint="eastAsia" w:ascii="华文楷体" w:hAnsi="华文楷体" w:eastAsia="华文楷体" w:cs="华文楷体"/>
          <w:b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分）</w:t>
      </w:r>
    </w:p>
    <w:tbl>
      <w:tblPr>
        <w:tblStyle w:val="3"/>
        <w:tblW w:w="98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9"/>
        <w:gridCol w:w="1424"/>
        <w:gridCol w:w="7372"/>
      </w:tblGrid>
      <w:tr w14:paraId="6C7ED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A14F5B">
            <w:pPr>
              <w:spacing w:line="360" w:lineRule="auto"/>
              <w:jc w:val="center"/>
              <w:rPr>
                <w:rFonts w:hint="eastAsia" w:ascii="华文楷体" w:hAnsi="华文楷体" w:eastAsia="华文楷体" w:cs="华文楷体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华文楷体" w:hAnsi="华文楷体" w:eastAsia="华文楷体" w:cs="华文楷体"/>
                <w:b w:val="0"/>
                <w:bCs w:val="0"/>
                <w:color w:val="auto"/>
                <w:sz w:val="24"/>
                <w:szCs w:val="24"/>
                <w:highlight w:val="none"/>
              </w:rPr>
              <w:t>条款号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BA5E00">
            <w:pPr>
              <w:spacing w:line="360" w:lineRule="auto"/>
              <w:rPr>
                <w:rFonts w:hint="eastAsia" w:ascii="华文楷体" w:hAnsi="华文楷体" w:eastAsia="华文楷体" w:cs="华文楷体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华文楷体" w:hAnsi="华文楷体" w:eastAsia="华文楷体" w:cs="华文楷体"/>
                <w:b w:val="0"/>
                <w:bCs w:val="0"/>
                <w:color w:val="auto"/>
                <w:sz w:val="24"/>
                <w:szCs w:val="24"/>
                <w:highlight w:val="none"/>
              </w:rPr>
              <w:t>评分项目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C392B1">
            <w:pPr>
              <w:spacing w:line="360" w:lineRule="auto"/>
              <w:jc w:val="center"/>
              <w:rPr>
                <w:rFonts w:hint="eastAsia" w:ascii="华文楷体" w:hAnsi="华文楷体" w:eastAsia="华文楷体" w:cs="华文楷体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华文楷体" w:hAnsi="华文楷体" w:eastAsia="华文楷体" w:cs="华文楷体"/>
                <w:b w:val="0"/>
                <w:bCs w:val="0"/>
                <w:color w:val="auto"/>
                <w:sz w:val="24"/>
                <w:szCs w:val="24"/>
                <w:highlight w:val="none"/>
              </w:rPr>
              <w:t>评分标准</w:t>
            </w:r>
          </w:p>
        </w:tc>
      </w:tr>
      <w:tr w14:paraId="5B284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473BC6">
            <w:pPr>
              <w:spacing w:line="360" w:lineRule="auto"/>
              <w:jc w:val="center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56DA6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left"/>
              <w:textAlignment w:val="auto"/>
              <w:rPr>
                <w:rFonts w:hint="eastAsia" w:ascii="华文楷体" w:hAnsi="华文楷体" w:eastAsia="华文楷体" w:cs="华文楷体"/>
                <w:b w:val="0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华文楷体" w:hAnsi="华文楷体" w:eastAsia="华文楷体" w:cs="华文楷体"/>
                <w:b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整体运维服务方案（20分）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D3647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1.第一档次（20分）：</w:t>
            </w:r>
          </w:p>
          <w:p w14:paraId="5986E22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－方案极其全面深入，覆盖所有关键领域，服务内容完整，响应全面细致。</w:t>
            </w:r>
          </w:p>
          <w:p w14:paraId="01B3ED3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－技术支持计划和故障处理流程极其完善，能够迅速、准确地解决复杂运维问题。</w:t>
            </w:r>
          </w:p>
          <w:p w14:paraId="7A031B31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－提出多项运维策略和方法，有明确的服务标准和监督机制，确保有效提升运维服务质量。</w:t>
            </w:r>
          </w:p>
          <w:p w14:paraId="754047A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2.第二档次（15分）：</w:t>
            </w:r>
          </w:p>
          <w:p w14:paraId="54B1376F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－方案全面深入，针对医院的特定需求进行定制化设计。</w:t>
            </w:r>
          </w:p>
          <w:p w14:paraId="2944ED8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－技术支持计划和故障处理流程高度完善，能够预见并预防潜在运维问题。</w:t>
            </w:r>
          </w:p>
          <w:p w14:paraId="41FD948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－提出多项运维策略和方法，有效提升运维效率和质量。</w:t>
            </w:r>
          </w:p>
          <w:p w14:paraId="724F9DC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3.第三档次（10分）：</w:t>
            </w:r>
          </w:p>
          <w:p w14:paraId="348511B1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－方案内容非常全面，深入分析本项目医院的运维需求。</w:t>
            </w:r>
          </w:p>
          <w:p w14:paraId="4466196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－有完善的技术支持计划和故障处理流程，能够迅速响应并处理各种运维问题。</w:t>
            </w:r>
          </w:p>
          <w:p w14:paraId="38D777C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－提出运维策略和方法能显著提高运维效率和质量。</w:t>
            </w:r>
          </w:p>
          <w:p w14:paraId="3A036C1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4.第四档次（5分）：</w:t>
            </w:r>
          </w:p>
          <w:p w14:paraId="0452313F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－方案内容全面，涵盖运维服务的各个方面，并有一定深度。</w:t>
            </w:r>
          </w:p>
          <w:p w14:paraId="1FA80FF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－有详细的技术支持计划和故障处理流程，能够应对常见运维问题。</w:t>
            </w:r>
          </w:p>
          <w:p w14:paraId="5C44F19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－提出一些创新的运维策略和方法能提高运维效率和质量。</w:t>
            </w:r>
          </w:p>
          <w:p w14:paraId="0999A2E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5.第五档次（3分）：</w:t>
            </w:r>
          </w:p>
          <w:p w14:paraId="5E60058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－方案内容较为完整，但缺乏深度。</w:t>
            </w:r>
          </w:p>
          <w:p w14:paraId="11A1A55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－有一定的技术支持计划和故障处理流程，但不够详细。</w:t>
            </w:r>
          </w:p>
          <w:p w14:paraId="28D42171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－提出一些基本的运维策略和方法。</w:t>
            </w:r>
          </w:p>
          <w:p w14:paraId="20D08CA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6.第六档次（0分）：</w:t>
            </w:r>
          </w:p>
          <w:p w14:paraId="2ECF30F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－方案内容简单，仅涵盖基本的运维服务。</w:t>
            </w:r>
          </w:p>
          <w:p w14:paraId="085A376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－缺乏详细的技术支持计划和故障处理流程。</w:t>
            </w:r>
          </w:p>
          <w:p w14:paraId="6E623C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left"/>
              <w:textAlignment w:val="auto"/>
              <w:rPr>
                <w:rFonts w:hint="eastAsia" w:ascii="华文楷体" w:hAnsi="华文楷体" w:eastAsia="华文楷体" w:cs="华文楷体"/>
                <w:b w:val="0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－未提出新的运维策略或方法。</w:t>
            </w:r>
          </w:p>
        </w:tc>
      </w:tr>
      <w:tr w14:paraId="20BB58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F6C228">
            <w:pPr>
              <w:spacing w:line="360" w:lineRule="auto"/>
              <w:jc w:val="center"/>
              <w:rPr>
                <w:rFonts w:hint="default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DC2F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运维质量保证措施（20分</w:t>
            </w:r>
            <w:r>
              <w:rPr>
                <w:rFonts w:hint="eastAsia" w:ascii="华文楷体" w:hAnsi="华文楷体" w:eastAsia="华文楷体" w:cs="华文楷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）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7B015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第一档次（20分）</w:t>
            </w:r>
          </w:p>
          <w:p w14:paraId="38E4A1E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－质量保证承诺：有具体且详细的售后质量承诺，明确响应时间，出现问题能快速及时响应采购人，提供接近零故障率的运维服务，确保本服务项目7x24小时稳定运行。</w:t>
            </w:r>
          </w:p>
          <w:p w14:paraId="3893D24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－保证措施：服务保障措施内容全面完整详细，完全符合项目特点，针对性强，完全满足项目的需求。</w:t>
            </w:r>
          </w:p>
          <w:p w14:paraId="4408212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－处罚措施：制定严格的处罚措施，对未达标的运维服务进行严厉处罚，确保服务质量。</w:t>
            </w:r>
          </w:p>
          <w:p w14:paraId="6EF7FC8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第二档次（15分）</w:t>
            </w:r>
          </w:p>
          <w:p w14:paraId="6D313A2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－质量保证承诺：售后质量承诺基本完整，响应时间基本可行，出现问题时大部分情况下能及时响应采购人，但可能在某些细节或特殊情况下有所欠缺，提供高可靠性的运维服务，故障率较低。</w:t>
            </w:r>
          </w:p>
          <w:p w14:paraId="33C5EB0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－保证措施：服务保障措施内容不够细化，基本符合项目需求，但仍有改进空间。</w:t>
            </w:r>
          </w:p>
          <w:p w14:paraId="52BAC9C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－处罚措施：制定较为合理的处罚措施，对服务不达标的情况进行处罚。</w:t>
            </w:r>
          </w:p>
          <w:p w14:paraId="7726CBA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第三档次（10分）</w:t>
            </w:r>
          </w:p>
          <w:p w14:paraId="1F79C26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－质量保证承诺：售后质量承诺内容有所缺漏，响应时间和问题处理时间及时性不足，运维服务基本可靠，能够满足医院日常需求。</w:t>
            </w:r>
          </w:p>
          <w:p w14:paraId="2AF714C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－保证措施：服务保障措施基本完整，但内容简单、缺乏针对性。</w:t>
            </w:r>
          </w:p>
          <w:p w14:paraId="13300DA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－处罚措施：处罚措施相对宽松，对服务不达标的情况处罚不够严厉。</w:t>
            </w:r>
          </w:p>
          <w:p w14:paraId="313CE22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第四档次（5分）</w:t>
            </w:r>
          </w:p>
          <w:p w14:paraId="1B40BBE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－质量保证承诺：对运维服务质量有所承诺，但内容模糊，缺乏具体标准，运维服务存在偶尔的故障和不稳定情况。</w:t>
            </w:r>
          </w:p>
          <w:p w14:paraId="783FFE0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－保证措施：服务保障措施缺乏实质性内容，难以有效的保障服务质量，与项目需求有一定差距。</w:t>
            </w:r>
          </w:p>
          <w:p w14:paraId="2053F5D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－处罚措施：处罚措施不明确或执行不力。</w:t>
            </w:r>
          </w:p>
          <w:p w14:paraId="09515C1F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第五档次（0分）</w:t>
            </w:r>
          </w:p>
          <w:p w14:paraId="1411032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－质量保证承诺：未对运维服务质量做出明确承诺，运维服务频繁出现故障，影响医院正常工作。</w:t>
            </w:r>
          </w:p>
          <w:p w14:paraId="0161263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－保证措施：未制定服务保障措施</w:t>
            </w:r>
          </w:p>
          <w:p w14:paraId="2AECD24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－处罚措施：未制定处罚措施。</w:t>
            </w:r>
          </w:p>
        </w:tc>
      </w:tr>
      <w:tr w14:paraId="5699CF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7D3186">
            <w:pPr>
              <w:spacing w:line="360" w:lineRule="auto"/>
              <w:jc w:val="center"/>
              <w:rPr>
                <w:rFonts w:hint="default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16E1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项目团队人员配置（20分）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DDFC9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default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（1）组织机构管理体系（5分）</w:t>
            </w:r>
          </w:p>
          <w:p w14:paraId="10FC343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组织机构管理体系完善，有明确的现场运维负责人，具备相关</w:t>
            </w: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Hans" w:bidi="ar-SA"/>
              </w:rPr>
              <w:t>运维资质</w:t>
            </w: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，能够有效地支持维保服务项目的实施（须提供现场运维负责人社保证明材料，参保证明须有能识别真假的二维码，未提供参保证明的人员不予认可）</w:t>
            </w:r>
          </w:p>
          <w:p w14:paraId="4210C2B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（2）人员专业及人员配置（10分）</w:t>
            </w:r>
          </w:p>
          <w:p w14:paraId="1A01256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注：须提供个人社保证明材料，参保证明须有能识别真假的二维码，未提供参保证明的人员不予认可</w:t>
            </w:r>
          </w:p>
          <w:p w14:paraId="2417385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（3）人员不更换承诺（2.5分）</w:t>
            </w:r>
          </w:p>
          <w:p w14:paraId="0CCB683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项目团队在合同期内承诺不更换关键人员，确保项目的连续性和稳定性。</w:t>
            </w:r>
          </w:p>
          <w:p w14:paraId="5DB3FF2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（4）违约责任（2.5分）</w:t>
            </w:r>
          </w:p>
          <w:p w14:paraId="32C282B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对违约责任有明确、合理的规定，能够确保维保服务项目的顺利进行和违约后的处理。</w:t>
            </w:r>
          </w:p>
        </w:tc>
      </w:tr>
      <w:tr w14:paraId="25586D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C20E0A">
            <w:pPr>
              <w:spacing w:line="360" w:lineRule="auto"/>
              <w:jc w:val="center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E4AE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业绩评审（10分</w:t>
            </w:r>
            <w:r>
              <w:rPr>
                <w:rFonts w:hint="eastAsia" w:ascii="华文楷体" w:hAnsi="华文楷体" w:eastAsia="华文楷体" w:cs="华文楷体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）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7975D1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投标人自2022年1月1日至今每完成一项类似的系统运维服务业绩得2分，加满为止。</w:t>
            </w:r>
          </w:p>
          <w:p w14:paraId="3815454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注：1.证明材料以项目合同或中标通知书或采购人（甲方）出具的证明材料为准。2.合同时间以合同签订时间计算。（例：合同签订时间为2022年1月1日后签订，为有效业绩）</w:t>
            </w:r>
          </w:p>
        </w:tc>
      </w:tr>
    </w:tbl>
    <w:p w14:paraId="3C6BBC20">
      <w:pPr>
        <w:pStyle w:val="5"/>
        <w:rPr>
          <w:rFonts w:hint="eastAsia"/>
          <w:lang w:eastAsia="zh-CN"/>
        </w:rPr>
      </w:pPr>
    </w:p>
    <w:p w14:paraId="682F7E83">
      <w:pPr>
        <w:keepNext w:val="0"/>
        <w:keepLines w:val="0"/>
        <w:widowControl/>
        <w:suppressLineNumbers w:val="0"/>
        <w:jc w:val="left"/>
      </w:pPr>
    </w:p>
    <w:p w14:paraId="75A877C6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5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1ZTc0NDM1ODQ3ZDBmZjVjZDUzNjlmN2Y4ODAwYWEifQ=="/>
  </w:docVars>
  <w:rsids>
    <w:rsidRoot w:val="59CC030D"/>
    <w:rsid w:val="02141D77"/>
    <w:rsid w:val="02476C67"/>
    <w:rsid w:val="02691984"/>
    <w:rsid w:val="037472F8"/>
    <w:rsid w:val="03ED346D"/>
    <w:rsid w:val="042E42B8"/>
    <w:rsid w:val="05B97511"/>
    <w:rsid w:val="06F226A3"/>
    <w:rsid w:val="0BA17532"/>
    <w:rsid w:val="0BDC4F6E"/>
    <w:rsid w:val="11576F7C"/>
    <w:rsid w:val="12F3457C"/>
    <w:rsid w:val="1771005C"/>
    <w:rsid w:val="17AE1A29"/>
    <w:rsid w:val="1A306A02"/>
    <w:rsid w:val="1A385198"/>
    <w:rsid w:val="2117424E"/>
    <w:rsid w:val="21D27278"/>
    <w:rsid w:val="22590C76"/>
    <w:rsid w:val="26010C4D"/>
    <w:rsid w:val="267143DF"/>
    <w:rsid w:val="2FAD1D20"/>
    <w:rsid w:val="327C66BE"/>
    <w:rsid w:val="383E384F"/>
    <w:rsid w:val="388042A0"/>
    <w:rsid w:val="3943642A"/>
    <w:rsid w:val="3D946B9A"/>
    <w:rsid w:val="3EBB7A88"/>
    <w:rsid w:val="401F007A"/>
    <w:rsid w:val="41641CA7"/>
    <w:rsid w:val="41BE5E0E"/>
    <w:rsid w:val="421107CE"/>
    <w:rsid w:val="44F73F5C"/>
    <w:rsid w:val="45C87CCF"/>
    <w:rsid w:val="47846D32"/>
    <w:rsid w:val="486D73A7"/>
    <w:rsid w:val="4DCE0963"/>
    <w:rsid w:val="4F94559A"/>
    <w:rsid w:val="55694DE8"/>
    <w:rsid w:val="56BC7B98"/>
    <w:rsid w:val="56C86934"/>
    <w:rsid w:val="58DF3AAB"/>
    <w:rsid w:val="59CC030D"/>
    <w:rsid w:val="5AD023FF"/>
    <w:rsid w:val="6198016C"/>
    <w:rsid w:val="649E3780"/>
    <w:rsid w:val="64C6798C"/>
    <w:rsid w:val="652A277E"/>
    <w:rsid w:val="6B64178A"/>
    <w:rsid w:val="6BA71E32"/>
    <w:rsid w:val="70F57389"/>
    <w:rsid w:val="76D11B3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customStyle="1" w:styleId="5">
    <w:name w:val="标题 5（有编号）（绿盟科技）"/>
    <w:basedOn w:val="1"/>
    <w:next w:val="6"/>
    <w:autoRedefine/>
    <w:qFormat/>
    <w:uiPriority w:val="0"/>
    <w:pPr>
      <w:keepNext/>
      <w:keepLines/>
      <w:numPr>
        <w:ilvl w:val="4"/>
        <w:numId w:val="1"/>
      </w:numPr>
      <w:tabs>
        <w:tab w:val="left" w:pos="0"/>
      </w:tabs>
      <w:spacing w:before="280" w:after="156" w:line="377" w:lineRule="auto"/>
      <w:jc w:val="left"/>
      <w:outlineLvl w:val="4"/>
    </w:pPr>
    <w:rPr>
      <w:rFonts w:ascii="Arial" w:hAnsi="Arial" w:eastAsia="黑体"/>
      <w:b/>
      <w:kern w:val="0"/>
      <w:sz w:val="24"/>
      <w:szCs w:val="28"/>
    </w:rPr>
  </w:style>
  <w:style w:type="paragraph" w:customStyle="1" w:styleId="6">
    <w:name w:val="正文（绿盟科技）"/>
    <w:next w:val="1"/>
    <w:autoRedefine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  <w:style w:type="paragraph" w:customStyle="1" w:styleId="7">
    <w:name w:val="Table Paragraph"/>
    <w:basedOn w:val="1"/>
    <w:qFormat/>
    <w:uiPriority w:val="1"/>
    <w:pPr>
      <w:adjustRightInd/>
      <w:textAlignment w:val="auto"/>
    </w:pPr>
    <w:rPr>
      <w:rFonts w:ascii="宋体" w:hAnsi="宋体" w:eastAsia="宋体" w:cs="宋体"/>
      <w:sz w:val="22"/>
      <w:szCs w:val="22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1795</Words>
  <Characters>1839</Characters>
  <Lines>0</Lines>
  <Paragraphs>0</Paragraphs>
  <TotalTime>5</TotalTime>
  <ScaleCrop>false</ScaleCrop>
  <LinksUpToDate>false</LinksUpToDate>
  <CharactersWithSpaces>1840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2023-05-19T06:55:00Z</dcterms:created>
  <dc:creator>Administrator</dc:creator>
  <cp:lastModifiedBy>木香</cp:lastModifiedBy>
  <cp:lastPrinted>2024-02-20T07:24:00Z</cp:lastPrinted>
  <dcterms:modified xsi:type="dcterms:W3CDTF">2025-04-29T02:39:06Z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EF91788F010144B392240AFDDBF2DFA7_13</vt:lpwstr>
  </property>
  <property fmtid="{D5CDD505-2E9C-101B-9397-08002B2CF9AE}" pid="4" name="KSOTemplateDocerSaveRecord">
    <vt:lpwstr>eyJoZGlkIjoiN2Q1ZTc0NDM1ODQ3ZDBmZjVjZDUzNjlmN2Y4ODAwYWEiLCJ1c2VySWQiOiIyNTAxMzU4MjAifQ==</vt:lpwstr>
  </property>
</Properties>
</file>