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44EF5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</w:t>
      </w:r>
      <w:bookmarkStart w:id="0" w:name="_GoBack"/>
      <w:bookmarkEnd w:id="0"/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安宁市第一人民医院（连然院区）医共体专线服务购置项目（2025-2026年度）评分标准</w:t>
      </w:r>
    </w:p>
    <w:p w14:paraId="75C4DC47"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华文楷体" w:hAnsi="华文楷体" w:eastAsia="华文楷体" w:cs="华文楷体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 w14:paraId="4DDFB257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 w14:paraId="6AB61586">
      <w:pPr>
        <w:snapToGrid w:val="0"/>
        <w:spacing w:line="360" w:lineRule="auto"/>
        <w:ind w:firstLine="480" w:firstLineChars="200"/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 w14:paraId="1BF5117C">
      <w:pPr>
        <w:spacing w:line="360" w:lineRule="auto"/>
        <w:rPr>
          <w:rFonts w:hint="eastAsia" w:ascii="华文楷体" w:hAnsi="华文楷体" w:eastAsia="华文楷体" w:cs="华文楷体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二、技术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 w:ascii="华文楷体" w:hAnsi="华文楷体" w:eastAsia="华文楷体" w:cs="华文楷体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3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 w14:paraId="6C7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14F5B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A5E00">
            <w:pPr>
              <w:spacing w:line="360" w:lineRule="auto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92B1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5B284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73BC6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D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整体运维服务方案（20分）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364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1.第一档次（20分）：</w:t>
            </w:r>
          </w:p>
          <w:p w14:paraId="5986E2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－方案极其全面深入，覆盖所有关键领域，服务内容完整，响应全面细致。</w:t>
            </w:r>
          </w:p>
          <w:p w14:paraId="01B3ED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－技术支持计划和故障处理流程极其完善，能够迅速、准确地解决复杂运维问题。</w:t>
            </w:r>
          </w:p>
          <w:p w14:paraId="7A031B3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－提出多项运维策略和方法，有明确的服务标准和监督机制，确保有效提升运维服务质量。</w:t>
            </w:r>
          </w:p>
          <w:p w14:paraId="754047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2.第二档次（15分）：</w:t>
            </w:r>
          </w:p>
          <w:p w14:paraId="54B1376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－方案全面深入，针对医院的特定需求进行定制化设计。</w:t>
            </w:r>
          </w:p>
          <w:p w14:paraId="2944ED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－技术支持计划和故障处理流程高度完善，能够预见并预防潜在运维问题。</w:t>
            </w:r>
          </w:p>
          <w:p w14:paraId="41FD94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－提出多项运维策略和方法，有效提升运维效率和质量。</w:t>
            </w:r>
          </w:p>
          <w:p w14:paraId="724F9DC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3.第三档次（10分）：</w:t>
            </w:r>
          </w:p>
          <w:p w14:paraId="348511B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－方案内容非常全面，深入分析本项目医院的运维需求。</w:t>
            </w:r>
          </w:p>
          <w:p w14:paraId="4466196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－有完善的技术支持计划和故障处理流程，能够迅速响应并处理各种运维问题。</w:t>
            </w:r>
          </w:p>
          <w:p w14:paraId="38D777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－提出运维策略和方法能显著提高运维效率和质量。</w:t>
            </w:r>
          </w:p>
          <w:p w14:paraId="3A036C1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4.第四档次（5分）：</w:t>
            </w:r>
          </w:p>
          <w:p w14:paraId="0452313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－方案内容全面，涵盖运维服务的各个方面，并有一定深度。</w:t>
            </w:r>
          </w:p>
          <w:p w14:paraId="1FA80FF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－有详细的技术支持计划和故障处理流程，能够应对常见运维问题。</w:t>
            </w:r>
          </w:p>
          <w:p w14:paraId="5C44F19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－提出一些创新的运维策略和方法能提高运维效率和质量。</w:t>
            </w:r>
          </w:p>
          <w:p w14:paraId="0999A2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5.第五档次（3分）：</w:t>
            </w:r>
          </w:p>
          <w:p w14:paraId="5E6005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－方案内容较为完整，但缺乏深度。</w:t>
            </w:r>
          </w:p>
          <w:p w14:paraId="11A1A55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－有一定的技术支持计划和故障处理流程，但不够详细。</w:t>
            </w:r>
          </w:p>
          <w:p w14:paraId="28D421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－提出一些基本的运维策略和方法。</w:t>
            </w:r>
          </w:p>
          <w:p w14:paraId="20D08CA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6.第六档次（0分）：</w:t>
            </w:r>
          </w:p>
          <w:p w14:paraId="2ECF30F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－方案内容简单，仅涵盖基本的运维服务。</w:t>
            </w:r>
          </w:p>
          <w:p w14:paraId="085A37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－缺乏详细的技术支持计划和故障处理流程。</w:t>
            </w:r>
          </w:p>
          <w:p w14:paraId="6E623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－未提出新的运维策略或方法。</w:t>
            </w:r>
          </w:p>
        </w:tc>
      </w:tr>
      <w:tr w14:paraId="20BB5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C228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C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运维质量保证措施（20分</w:t>
            </w:r>
            <w:r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015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第一档次（20分）</w:t>
            </w:r>
          </w:p>
          <w:p w14:paraId="38E4A1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－质量保证承诺：有具体且详细的售后质量承诺，明确响应时间，出现问题能快速及时响应采购人，提供接近零故障率的运维服务，确保本服务项目7x24小时稳定运行。</w:t>
            </w:r>
          </w:p>
          <w:p w14:paraId="3893D2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－保证措施：服务保障措施内容全面完整详细，完全符合项目特点，针对性强，完全满足项目的需求。</w:t>
            </w:r>
          </w:p>
          <w:p w14:paraId="4408212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－处罚措施：制定严格的处罚措施，对未达标的运维服务进行严厉处罚，确保服务质量。</w:t>
            </w:r>
          </w:p>
          <w:p w14:paraId="6EF7FC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第二档次（15分）</w:t>
            </w:r>
          </w:p>
          <w:p w14:paraId="6D313A2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－质量保证承诺：售后质量承诺基本完整，响应时间基本可行，出现问题时大部分情况下能及时响应采购人，但可能在某些细节或特殊情况下有所欠缺，提供高可靠性的运维服务，故障率较低。</w:t>
            </w:r>
          </w:p>
          <w:p w14:paraId="33C5EB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－保证措施：服务保障措施内容不够细化，基本符合项目需求，但仍有改进空间。</w:t>
            </w:r>
          </w:p>
          <w:p w14:paraId="52BAC9C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－处罚措施：制定较为合理的处罚措施，对服务不达标的情况进行处罚。</w:t>
            </w:r>
          </w:p>
          <w:p w14:paraId="7726CB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第三档次（10分）</w:t>
            </w:r>
          </w:p>
          <w:p w14:paraId="1F79C2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－质量保证承诺：售后质量承诺内容有所缺漏，响应时间和问题处理时间及时性不足，运维服务基本可靠，能够满足医院日常需求。</w:t>
            </w:r>
          </w:p>
          <w:p w14:paraId="2AF714C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－保证措施：服务保障措施基本完整，但内容简单、缺乏针对性。</w:t>
            </w:r>
          </w:p>
          <w:p w14:paraId="13300DA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－处罚措施：处罚措施相对宽松，对服务不达标的情况处罚不够严厉。</w:t>
            </w:r>
          </w:p>
          <w:p w14:paraId="313CE2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第四档次（5分）</w:t>
            </w:r>
          </w:p>
          <w:p w14:paraId="1B40BB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－质量保证承诺：对运维服务质量有所承诺，但内容模糊，缺乏具体标准，运维服务存在偶尔的故障和不稳定情况。</w:t>
            </w:r>
          </w:p>
          <w:p w14:paraId="783FFE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－保证措施：服务保障措施缺乏实质性内容，难以有效的保障服务质量，与项目需求有一定差距。</w:t>
            </w:r>
          </w:p>
          <w:p w14:paraId="2053F5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－处罚措施：处罚措施不明确或执行不力。</w:t>
            </w:r>
          </w:p>
          <w:p w14:paraId="09515C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第五档次（0分）</w:t>
            </w:r>
          </w:p>
          <w:p w14:paraId="1411032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－质量保证承诺：未对运维服务质量做出明确承诺，运维服务频繁出现故障，影响医院正常工作。</w:t>
            </w:r>
          </w:p>
          <w:p w14:paraId="016126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－保证措施：未制定服务保障措施</w:t>
            </w:r>
          </w:p>
          <w:p w14:paraId="2AECD2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－处罚措施：未制定处罚措施。</w:t>
            </w:r>
          </w:p>
        </w:tc>
      </w:tr>
      <w:tr w14:paraId="5699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D3186">
            <w:pPr>
              <w:spacing w:line="360" w:lineRule="auto"/>
              <w:jc w:val="center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6E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项目团队人员配置（20分）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DFC9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default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（1）组织机构管理体系（5分）</w:t>
            </w:r>
          </w:p>
          <w:p w14:paraId="10FC343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组织机构管理体系完善，有明确的现场运维负责人，具备相关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Hans" w:bidi="ar-SA"/>
              </w:rPr>
              <w:t>运维资质</w:t>
            </w: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，能够有效地支持维保服务项目的实施（须提供现场运维负责人社保证明材料，参保证明须有能识别真假的二维码，未提供参保证明的人员不予认可）</w:t>
            </w:r>
          </w:p>
          <w:p w14:paraId="4210C2B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（2）人员专业及人员配置（10分）</w:t>
            </w:r>
          </w:p>
          <w:p w14:paraId="1A01256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注：须提供个人社保证明材料，参保证明须有能识别真假的二维码，未提供参保证明的人员不予认可</w:t>
            </w:r>
          </w:p>
          <w:p w14:paraId="2417385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（3）人员不更换承诺（2.5分）</w:t>
            </w:r>
          </w:p>
          <w:p w14:paraId="0CCB683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项目团队在合同期内承诺不更换关键人员，确保项目的连续性和稳定性。</w:t>
            </w:r>
          </w:p>
          <w:p w14:paraId="5DB3FF2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（4）违约责任（2.5分）</w:t>
            </w:r>
          </w:p>
          <w:p w14:paraId="32C282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对违约责任有明确、合理的规定，能够确保维保服务项目的顺利进行和违约后的处理。</w:t>
            </w:r>
          </w:p>
        </w:tc>
      </w:tr>
      <w:tr w14:paraId="2558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20E0A">
            <w:pPr>
              <w:spacing w:line="360" w:lineRule="auto"/>
              <w:jc w:val="center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4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业绩评审（10分</w:t>
            </w:r>
            <w:r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975D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投标人自2022年1月1日至今每完成一项类似的系统运维服务业绩得2分，加满为止。</w:t>
            </w:r>
          </w:p>
          <w:p w14:paraId="3815454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9" w:line="400" w:lineRule="exact"/>
              <w:ind w:right="-29"/>
              <w:textAlignment w:val="auto"/>
              <w:rPr>
                <w:rFonts w:hint="eastAsia" w:ascii="华文楷体" w:hAnsi="华文楷体" w:eastAsia="华文楷体" w:cs="华文楷体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4"/>
                <w:szCs w:val="24"/>
                <w:highlight w:val="none"/>
                <w:lang w:val="en-US" w:eastAsia="zh-CN" w:bidi="ar-SA"/>
              </w:rPr>
              <w:t>注：1.证明材料以项目合同或中标通知书或采购人（甲方）出具的证明材料为准。2.合同时间以合同签订时间计算。（例：合同签订时间为2022年1月1日后签订，为有效业绩）</w:t>
            </w:r>
          </w:p>
        </w:tc>
      </w:tr>
    </w:tbl>
    <w:p w14:paraId="3C6BBC20">
      <w:pPr>
        <w:pStyle w:val="5"/>
        <w:rPr>
          <w:rFonts w:hint="eastAsia"/>
          <w:lang w:eastAsia="zh-CN"/>
        </w:rPr>
      </w:pPr>
    </w:p>
    <w:p w14:paraId="682F7E83">
      <w:pPr>
        <w:keepNext w:val="0"/>
        <w:keepLines w:val="0"/>
        <w:widowControl/>
        <w:suppressLineNumbers w:val="0"/>
        <w:jc w:val="left"/>
      </w:pPr>
    </w:p>
    <w:p w14:paraId="75A877C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476C67"/>
    <w:rsid w:val="02691984"/>
    <w:rsid w:val="037472F8"/>
    <w:rsid w:val="03ED346D"/>
    <w:rsid w:val="042E42B8"/>
    <w:rsid w:val="05B97511"/>
    <w:rsid w:val="06F226A3"/>
    <w:rsid w:val="0BA17532"/>
    <w:rsid w:val="0BDC4F6E"/>
    <w:rsid w:val="11576F7C"/>
    <w:rsid w:val="12F3457C"/>
    <w:rsid w:val="1771005C"/>
    <w:rsid w:val="17AE1A29"/>
    <w:rsid w:val="1A306A02"/>
    <w:rsid w:val="1A385198"/>
    <w:rsid w:val="2117424E"/>
    <w:rsid w:val="21D27278"/>
    <w:rsid w:val="22590C76"/>
    <w:rsid w:val="26010C4D"/>
    <w:rsid w:val="267143DF"/>
    <w:rsid w:val="27014D9A"/>
    <w:rsid w:val="2FAD1D20"/>
    <w:rsid w:val="327C66BE"/>
    <w:rsid w:val="383E384F"/>
    <w:rsid w:val="388042A0"/>
    <w:rsid w:val="3943642A"/>
    <w:rsid w:val="3D946B9A"/>
    <w:rsid w:val="3EBB7A88"/>
    <w:rsid w:val="401F007A"/>
    <w:rsid w:val="41641CA7"/>
    <w:rsid w:val="41BE5E0E"/>
    <w:rsid w:val="421107CE"/>
    <w:rsid w:val="44F73F5C"/>
    <w:rsid w:val="45C87CCF"/>
    <w:rsid w:val="47846D32"/>
    <w:rsid w:val="486D73A7"/>
    <w:rsid w:val="4DCE0963"/>
    <w:rsid w:val="4F94559A"/>
    <w:rsid w:val="55694DE8"/>
    <w:rsid w:val="56BC7B98"/>
    <w:rsid w:val="56C86934"/>
    <w:rsid w:val="58DF3AAB"/>
    <w:rsid w:val="59CC030D"/>
    <w:rsid w:val="5AD023FF"/>
    <w:rsid w:val="6198016C"/>
    <w:rsid w:val="649E3780"/>
    <w:rsid w:val="64C6798C"/>
    <w:rsid w:val="652A277E"/>
    <w:rsid w:val="6B64178A"/>
    <w:rsid w:val="6BA71E32"/>
    <w:rsid w:val="6D1C4675"/>
    <w:rsid w:val="70F57389"/>
    <w:rsid w:val="76D11B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5">
    <w:name w:val="标题 5（有编号）（绿盟科技）"/>
    <w:basedOn w:val="1"/>
    <w:next w:val="6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6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adjustRightInd/>
      <w:textAlignment w:val="auto"/>
    </w:pPr>
    <w:rPr>
      <w:rFonts w:ascii="宋体" w:hAnsi="宋体" w:eastAsia="宋体" w:cs="宋体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1796</Words>
  <Characters>1840</Characters>
  <Lines>0</Lines>
  <Paragraphs>0</Paragraphs>
  <TotalTime>5</TotalTime>
  <ScaleCrop>false</ScaleCrop>
  <LinksUpToDate>false</LinksUpToDate>
  <CharactersWithSpaces>1841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2025-04-29T02:55:26Z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EF91788F010144B392240AFDDBF2DFA7_13</vt:lpwstr>
  </property>
  <property fmtid="{D5CDD505-2E9C-101B-9397-08002B2CF9AE}" pid="4" name="KSOTemplateDocerSaveRecord">
    <vt:lpwstr>eyJoZGlkIjoiN2Q1ZTc0NDM1ODQ3ZDBmZjVjZDUzNjlmN2Y4ODAwYWEiLCJ1c2VySWQiOiIyNTAxMzU4MjAifQ==</vt:lpwstr>
  </property>
</Properties>
</file>