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D0462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附件4：安宁市第一人民医院医保线路服务购置项目（2025-2026年度）评分标准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资格审查及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符合性审查且投标价格最低的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1BF5117C">
      <w:pPr>
        <w:spacing w:line="360" w:lineRule="auto"/>
        <w:rPr>
          <w:rFonts w:hint="eastAsia" w:ascii="华文楷体" w:hAnsi="华文楷体" w:eastAsia="华文楷体" w:cs="华文楷体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二、技术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70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3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6DA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整体运维服务方案（20分）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3647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1.第一档次（20分）：</w:t>
            </w:r>
          </w:p>
          <w:p w14:paraId="5986E22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－方案极其全面深入，覆盖所有关键领域，服务内容完整，响应全面细致。</w:t>
            </w:r>
          </w:p>
          <w:p w14:paraId="01B3ED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－技术支持计划和故障处理流程极其完善，能够迅速、准确地解决复杂运维问题。</w:t>
            </w:r>
          </w:p>
          <w:p w14:paraId="7A031B3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－提出多项运维策略和方法，有明确的服务标准和监督机制，确保有效提升运维服务质量。</w:t>
            </w:r>
          </w:p>
          <w:p w14:paraId="754047A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2.第二档次（15分）：</w:t>
            </w:r>
          </w:p>
          <w:p w14:paraId="54B1376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－方案全面深入，针对医院的特定需求进行定制化设计。</w:t>
            </w:r>
          </w:p>
          <w:p w14:paraId="2944ED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－技术支持计划和故障处理流程高度完善，能够预见并预防潜在运维问题。</w:t>
            </w:r>
          </w:p>
          <w:p w14:paraId="41FD948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－提出多项运维策略和方法，有效提升运维效率和质量。</w:t>
            </w:r>
          </w:p>
          <w:p w14:paraId="724F9DC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3.第三档次（10分）：</w:t>
            </w:r>
          </w:p>
          <w:p w14:paraId="348511B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－方案内容非常全面，深入分析本项目医院的运维需求。</w:t>
            </w:r>
          </w:p>
          <w:p w14:paraId="4466196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－有完善的技术支持计划和故障处理流程，能够迅速响应并处理各种运维问题。</w:t>
            </w:r>
          </w:p>
          <w:p w14:paraId="38D777C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－提出运维策略和方法能显著提高运维效率和质量。</w:t>
            </w:r>
          </w:p>
          <w:p w14:paraId="3A036C1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4.第四档次（5分）：</w:t>
            </w:r>
          </w:p>
          <w:p w14:paraId="0452313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－方案内容全面，涵盖运维服务的各个方面，并有一定深度。</w:t>
            </w:r>
          </w:p>
          <w:p w14:paraId="1FA80FF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－有详细的技术支持计划和故障处理流程，能够应对常见运维问题。</w:t>
            </w:r>
          </w:p>
          <w:p w14:paraId="5C44F19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－提出一些创新的运维策略和方法能提高运维效率和质量。</w:t>
            </w:r>
          </w:p>
          <w:p w14:paraId="0999A2E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5.第五档次（3分）：</w:t>
            </w:r>
          </w:p>
          <w:p w14:paraId="5E6005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－方案内容较为完整，但缺乏深度。</w:t>
            </w:r>
          </w:p>
          <w:p w14:paraId="11A1A55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－有一定的技术支持计划和故障处理流程，但不够详细。</w:t>
            </w:r>
          </w:p>
          <w:p w14:paraId="28D4217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－提出一些基本的运维策略和方法。</w:t>
            </w:r>
          </w:p>
          <w:p w14:paraId="20D08CA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6.第六档次（0分）：</w:t>
            </w:r>
          </w:p>
          <w:p w14:paraId="2ECF30F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－方案内容简单，仅涵盖基本的运维服务。</w:t>
            </w:r>
          </w:p>
          <w:p w14:paraId="085A376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－缺乏详细的技术支持计划和故障处理流程。</w:t>
            </w:r>
          </w:p>
          <w:p w14:paraId="6E623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－未提出新的运维策略或方法。</w:t>
            </w:r>
          </w:p>
        </w:tc>
      </w:tr>
      <w:tr w14:paraId="20BB5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6C228">
            <w:pPr>
              <w:spacing w:line="360" w:lineRule="auto"/>
              <w:jc w:val="center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C2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运维质量保证措施（20分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B015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第一档次（20分）</w:t>
            </w:r>
          </w:p>
          <w:p w14:paraId="38E4A1E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－质量保证承诺：有具体且详细的售后质量承诺，明确响应时间，出现问题能快速及时响应采购人，提供接近零故障率的运维服务，确保本服务项目7x24小时稳定运行。</w:t>
            </w:r>
          </w:p>
          <w:p w14:paraId="3893D2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－保证措施：服务保障措施内容全面完整详细，完全符合项目特点，针对性强，完全满足项目的需求。</w:t>
            </w:r>
          </w:p>
          <w:p w14:paraId="4408212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－处罚措施：制定严格的处罚措施，对未达标的运维服务进行严厉处罚，确保服务质量。</w:t>
            </w:r>
            <w:bookmarkStart w:id="0" w:name="_GoBack"/>
            <w:bookmarkEnd w:id="0"/>
          </w:p>
          <w:p w14:paraId="6EF7FC8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第二档次（15分）</w:t>
            </w:r>
          </w:p>
          <w:p w14:paraId="6D313A2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－质量保证承诺：售后质量承诺基本完整，响应时间基本可行，出现问题时大部分情况下能及时响应采购人，但可能在某些细节或特殊情况下有所欠缺，提供高可靠性的运维服务，故障率较低。</w:t>
            </w:r>
          </w:p>
          <w:p w14:paraId="33C5EB0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－保证措施：服务保障措施内容不够细化，基本符合项目需求，但仍有改进空间。</w:t>
            </w:r>
          </w:p>
          <w:p w14:paraId="52BAC9C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－处罚措施：制定较为合理的处罚措施，对服务不达标的情况进行处罚。</w:t>
            </w:r>
          </w:p>
          <w:p w14:paraId="7726CB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第三档次（10分）</w:t>
            </w:r>
          </w:p>
          <w:p w14:paraId="1F79C26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－质量保证承诺：售后质量承诺内容有所缺漏，响应时间和问题处理时间及时性不足，运维服务基本可靠，能够满足医院日常需求。</w:t>
            </w:r>
          </w:p>
          <w:p w14:paraId="2AF714C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－保证措施：服务保障措施基本完整，但内容简单、缺乏针对性。</w:t>
            </w:r>
          </w:p>
          <w:p w14:paraId="13300D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－处罚措施：处罚措施相对宽松，对服务不达标的情况处罚不够严厉。</w:t>
            </w:r>
          </w:p>
          <w:p w14:paraId="313CE22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第四档次（5分）</w:t>
            </w:r>
          </w:p>
          <w:p w14:paraId="1B40BBE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－质量保证承诺：对运维服务质量有所承诺，但内容模糊，缺乏具体标准，运维服务存在偶尔的故障和不稳定情况。</w:t>
            </w:r>
          </w:p>
          <w:p w14:paraId="783FFE0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－保证措施：服务保障措施缺乏实质性内容，难以有效的保障服务质量，与项目需求有一定差距。</w:t>
            </w:r>
          </w:p>
          <w:p w14:paraId="2053F5D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－处罚措施：处罚措施不明确或执行不力。</w:t>
            </w:r>
          </w:p>
          <w:p w14:paraId="09515C1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第五档次（0分）</w:t>
            </w:r>
          </w:p>
          <w:p w14:paraId="1411032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－质量保证承诺：未对运维服务质量做出明确承诺，运维服务频繁出现故障，影响医院正常工作。</w:t>
            </w:r>
          </w:p>
          <w:p w14:paraId="0161263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－保证措施：未制定服务保障措施</w:t>
            </w:r>
          </w:p>
          <w:p w14:paraId="2AECD24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－处罚措施：未制定处罚措施。</w:t>
            </w:r>
          </w:p>
        </w:tc>
      </w:tr>
      <w:tr w14:paraId="5699C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D3186">
            <w:pPr>
              <w:spacing w:line="360" w:lineRule="auto"/>
              <w:jc w:val="center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6E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项目团队人员配置（20分）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DFC9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（1）组织机构管理体系（5分）</w:t>
            </w:r>
          </w:p>
          <w:p w14:paraId="10FC343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组织机构管理体系完善，有明确的现场运维负责人，具备相关</w:t>
            </w: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Hans" w:bidi="ar-SA"/>
              </w:rPr>
              <w:t>运维资质</w:t>
            </w: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，能够有效地支持维保服务项目的实施（须提供现场运维负责人社保证明材料，参保证明须有能识别真假的二维码，未提供参保证明的人员不予认可）</w:t>
            </w:r>
          </w:p>
          <w:p w14:paraId="4210C2B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（2）人员专业及人员配置（10分）</w:t>
            </w:r>
          </w:p>
          <w:p w14:paraId="1A01256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注：须提供个人社保证明材料，参保证明须有能识别真假的二维码，未提供参保证明的人员不予认可</w:t>
            </w:r>
          </w:p>
          <w:p w14:paraId="2417385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（3）人员不更换承诺（2.5分）</w:t>
            </w:r>
          </w:p>
          <w:p w14:paraId="0CCB683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项目团队在合同期内承诺不更换关键人员，确保项目的连续性和稳定性。</w:t>
            </w:r>
          </w:p>
          <w:p w14:paraId="5DB3FF2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（4）违约责任（2.5分）</w:t>
            </w:r>
          </w:p>
          <w:p w14:paraId="32C282B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对违约责任有明确、合理的规定，能够确保维保服务项目的顺利进行和违约后的处理。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4A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业绩评审（10分</w:t>
            </w:r>
            <w:r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975D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投标人自2022年1月1日至今每完成一项类似的系统运维服务业绩得2分，加满为止。</w:t>
            </w:r>
          </w:p>
          <w:p w14:paraId="3815454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注：1.证明材料以项目合同或中标通知书或采购人（甲方）出具的证明材料为准。2.合同时间以合同签订时间计算。（例：合同签订时间为2022年1月1日后签订，为有效业绩）</w:t>
            </w:r>
          </w:p>
        </w:tc>
      </w:tr>
    </w:tbl>
    <w:p w14:paraId="3C6BBC20">
      <w:pPr>
        <w:pStyle w:val="5"/>
        <w:rPr>
          <w:rFonts w:hint="eastAsia"/>
          <w:lang w:eastAsia="zh-CN"/>
        </w:rPr>
      </w:pPr>
    </w:p>
    <w:p w14:paraId="682F7E83">
      <w:pPr>
        <w:keepNext w:val="0"/>
        <w:keepLines w:val="0"/>
        <w:widowControl/>
        <w:suppressLineNumbers w:val="0"/>
        <w:jc w:val="left"/>
      </w:pPr>
    </w:p>
    <w:p w14:paraId="75A877C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5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476C67"/>
    <w:rsid w:val="02691984"/>
    <w:rsid w:val="037472F8"/>
    <w:rsid w:val="03ED346D"/>
    <w:rsid w:val="042E42B8"/>
    <w:rsid w:val="05B97511"/>
    <w:rsid w:val="06F226A3"/>
    <w:rsid w:val="0BA17532"/>
    <w:rsid w:val="0BDC4F6E"/>
    <w:rsid w:val="11576F7C"/>
    <w:rsid w:val="1771005C"/>
    <w:rsid w:val="17AE1A29"/>
    <w:rsid w:val="1A306A02"/>
    <w:rsid w:val="1A385198"/>
    <w:rsid w:val="2117424E"/>
    <w:rsid w:val="21D27278"/>
    <w:rsid w:val="22590C76"/>
    <w:rsid w:val="26010C4D"/>
    <w:rsid w:val="267143DF"/>
    <w:rsid w:val="2FAD1D20"/>
    <w:rsid w:val="327C66BE"/>
    <w:rsid w:val="383E384F"/>
    <w:rsid w:val="388042A0"/>
    <w:rsid w:val="3943642A"/>
    <w:rsid w:val="3D946B9A"/>
    <w:rsid w:val="3EBB7A88"/>
    <w:rsid w:val="401F007A"/>
    <w:rsid w:val="41641CA7"/>
    <w:rsid w:val="41BE5E0E"/>
    <w:rsid w:val="421107CE"/>
    <w:rsid w:val="44F73F5C"/>
    <w:rsid w:val="45C87CCF"/>
    <w:rsid w:val="47846D32"/>
    <w:rsid w:val="486D73A7"/>
    <w:rsid w:val="4DCE0963"/>
    <w:rsid w:val="4F94559A"/>
    <w:rsid w:val="55694DE8"/>
    <w:rsid w:val="56BC7B98"/>
    <w:rsid w:val="56C86934"/>
    <w:rsid w:val="58DF3AAB"/>
    <w:rsid w:val="59CC030D"/>
    <w:rsid w:val="5AD023FF"/>
    <w:rsid w:val="6198016C"/>
    <w:rsid w:val="649E3780"/>
    <w:rsid w:val="64C6798C"/>
    <w:rsid w:val="6B64178A"/>
    <w:rsid w:val="6BA71E32"/>
    <w:rsid w:val="70F57389"/>
    <w:rsid w:val="76D11B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customStyle="1" w:styleId="5">
    <w:name w:val="标题 5（有编号）（绿盟科技）"/>
    <w:basedOn w:val="1"/>
    <w:next w:val="6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6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7">
    <w:name w:val="Table Paragraph"/>
    <w:basedOn w:val="1"/>
    <w:qFormat/>
    <w:uiPriority w:val="1"/>
    <w:pPr>
      <w:adjustRightInd/>
      <w:textAlignment w:val="auto"/>
    </w:pPr>
    <w:rPr>
      <w:rFonts w:ascii="宋体" w:hAnsi="宋体" w:eastAsia="宋体" w:cs="宋体"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1791</Words>
  <Characters>1827</Characters>
  <Lines>0</Lines>
  <Paragraphs>0</Paragraphs>
  <TotalTime>5</TotalTime>
  <ScaleCrop>false</ScaleCrop>
  <LinksUpToDate>false</LinksUpToDate>
  <CharactersWithSpaces>1828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2025-04-29T01:56:50Z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EF91788F010144B392240AFDDBF2DFA7_13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