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6313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textAlignment w:val="auto"/>
        <w:rPr>
          <w:rFonts w:hint="eastAsia" w:ascii="仿宋" w:hAnsi="仿宋" w:eastAsia="仿宋" w:cs="仿宋"/>
          <w:kern w:val="2"/>
          <w:sz w:val="28"/>
          <w:szCs w:val="28"/>
          <w:lang w:val="en-US" w:eastAsia="zh-CN" w:bidi="ar-SA"/>
        </w:rPr>
      </w:pPr>
      <w:r>
        <w:rPr>
          <w:rFonts w:hint="eastAsia" w:ascii="华文楷体" w:hAnsi="华文楷体" w:eastAsia="华文楷体" w:cs="华文楷体"/>
          <w:b/>
          <w:bCs/>
          <w:sz w:val="32"/>
          <w:szCs w:val="32"/>
        </w:rPr>
        <w:t>附件1：安宁市第一人民医院医保线路服务购置项目（2025-2026年度）采购需求</w:t>
      </w:r>
    </w:p>
    <w:p w14:paraId="70A8B44B">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华文楷体" w:hAnsi="华文楷体" w:eastAsia="华文楷体" w:cs="华文楷体"/>
          <w:b/>
          <w:bCs/>
          <w:color w:val="000000"/>
          <w:sz w:val="28"/>
          <w:szCs w:val="28"/>
          <w:lang w:eastAsia="zh-CN" w:bidi="ar"/>
        </w:rPr>
      </w:pPr>
    </w:p>
    <w:p w14:paraId="2D4D7844">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华文楷体" w:hAnsi="华文楷体" w:eastAsia="华文楷体" w:cs="华文楷体"/>
          <w:b/>
          <w:bCs/>
          <w:color w:val="000000"/>
          <w:sz w:val="28"/>
          <w:szCs w:val="28"/>
          <w:lang w:bidi="ar"/>
        </w:rPr>
      </w:pPr>
      <w:bookmarkStart w:id="0" w:name="_GoBack"/>
      <w:bookmarkEnd w:id="0"/>
      <w:r>
        <w:rPr>
          <w:rFonts w:hint="eastAsia" w:ascii="华文楷体" w:hAnsi="华文楷体" w:eastAsia="华文楷体" w:cs="华文楷体"/>
          <w:b/>
          <w:bCs/>
          <w:color w:val="000000"/>
          <w:sz w:val="28"/>
          <w:szCs w:val="28"/>
          <w:lang w:eastAsia="zh-CN" w:bidi="ar"/>
        </w:rPr>
        <w:t>一、</w:t>
      </w:r>
      <w:r>
        <w:rPr>
          <w:rFonts w:hint="eastAsia" w:ascii="华文楷体" w:hAnsi="华文楷体" w:eastAsia="华文楷体" w:cs="华文楷体"/>
          <w:b/>
          <w:bCs/>
          <w:color w:val="000000"/>
          <w:sz w:val="28"/>
          <w:szCs w:val="28"/>
          <w:lang w:bidi="ar"/>
        </w:rPr>
        <w:t>项目采购内容</w:t>
      </w:r>
    </w:p>
    <w:p w14:paraId="28A55B09">
      <w:pPr>
        <w:pStyle w:val="2"/>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华文楷体" w:hAnsi="华文楷体" w:eastAsia="华文楷体" w:cs="华文楷体"/>
          <w:color w:val="000000"/>
          <w:kern w:val="2"/>
          <w:sz w:val="28"/>
          <w:szCs w:val="28"/>
          <w:lang w:val="en-US" w:eastAsia="zh-CN" w:bidi="ar"/>
        </w:rPr>
      </w:pPr>
      <w:r>
        <w:rPr>
          <w:rFonts w:hint="eastAsia" w:ascii="华文楷体" w:hAnsi="华文楷体" w:eastAsia="华文楷体" w:cs="华文楷体"/>
          <w:color w:val="000000"/>
          <w:kern w:val="2"/>
          <w:sz w:val="28"/>
          <w:szCs w:val="28"/>
          <w:lang w:val="en-US" w:eastAsia="zh-CN" w:bidi="ar"/>
        </w:rPr>
        <w:t>1条100M数据专线（医保专线）。</w:t>
      </w:r>
    </w:p>
    <w:p w14:paraId="7F2A4436">
      <w:pPr>
        <w:keepNext w:val="0"/>
        <w:keepLines w:val="0"/>
        <w:pageBreakBefore w:val="0"/>
        <w:numPr>
          <w:ilvl w:val="0"/>
          <w:numId w:val="1"/>
        </w:numPr>
        <w:kinsoku/>
        <w:wordWrap/>
        <w:overflowPunct/>
        <w:topLinePunct w:val="0"/>
        <w:autoSpaceDE/>
        <w:autoSpaceDN/>
        <w:bidi w:val="0"/>
        <w:adjustRightInd/>
        <w:snapToGrid/>
        <w:spacing w:line="400" w:lineRule="exact"/>
        <w:jc w:val="both"/>
        <w:textAlignment w:val="auto"/>
        <w:rPr>
          <w:rFonts w:hint="eastAsia" w:ascii="华文楷体" w:hAnsi="华文楷体" w:eastAsia="华文楷体" w:cs="华文楷体"/>
          <w:b/>
          <w:bCs/>
          <w:color w:val="000000"/>
          <w:sz w:val="28"/>
          <w:szCs w:val="28"/>
          <w:lang w:eastAsia="zh-CN" w:bidi="ar"/>
        </w:rPr>
      </w:pPr>
      <w:r>
        <w:rPr>
          <w:rFonts w:hint="eastAsia" w:ascii="华文楷体" w:hAnsi="华文楷体" w:eastAsia="华文楷体" w:cs="华文楷体"/>
          <w:b/>
          <w:bCs/>
          <w:color w:val="000000"/>
          <w:sz w:val="28"/>
          <w:szCs w:val="28"/>
          <w:lang w:eastAsia="zh-CN" w:bidi="ar"/>
        </w:rPr>
        <w:t>技术要求</w:t>
      </w:r>
    </w:p>
    <w:tbl>
      <w:tblPr>
        <w:tblStyle w:val="7"/>
        <w:tblW w:w="8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988"/>
        <w:gridCol w:w="3912"/>
        <w:gridCol w:w="1950"/>
      </w:tblGrid>
      <w:tr w14:paraId="5155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87" w:type="dxa"/>
            <w:tcBorders>
              <w:top w:val="single" w:color="auto" w:sz="4" w:space="0"/>
              <w:left w:val="single" w:color="auto" w:sz="4" w:space="0"/>
              <w:bottom w:val="single" w:color="auto" w:sz="4" w:space="0"/>
              <w:right w:val="single" w:color="auto" w:sz="4" w:space="0"/>
            </w:tcBorders>
            <w:shd w:val="clear" w:color="auto" w:fill="E6E6E6"/>
            <w:vAlign w:val="center"/>
          </w:tcPr>
          <w:p w14:paraId="2CA2286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专线类别</w:t>
            </w:r>
          </w:p>
        </w:tc>
        <w:tc>
          <w:tcPr>
            <w:tcW w:w="988" w:type="dxa"/>
            <w:tcBorders>
              <w:top w:val="single" w:color="auto" w:sz="4" w:space="0"/>
              <w:left w:val="single" w:color="auto" w:sz="4" w:space="0"/>
              <w:bottom w:val="single" w:color="auto" w:sz="4" w:space="0"/>
              <w:right w:val="single" w:color="auto" w:sz="4" w:space="0"/>
            </w:tcBorders>
            <w:shd w:val="clear" w:color="auto" w:fill="E6E6E6"/>
            <w:vAlign w:val="center"/>
          </w:tcPr>
          <w:p w14:paraId="4F1A17A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质量指标内容</w:t>
            </w:r>
          </w:p>
        </w:tc>
        <w:tc>
          <w:tcPr>
            <w:tcW w:w="3912" w:type="dxa"/>
            <w:tcBorders>
              <w:top w:val="single" w:color="auto" w:sz="4" w:space="0"/>
              <w:left w:val="single" w:color="auto" w:sz="4" w:space="0"/>
              <w:bottom w:val="single" w:color="auto" w:sz="4" w:space="0"/>
              <w:right w:val="single" w:color="auto" w:sz="4" w:space="0"/>
            </w:tcBorders>
            <w:shd w:val="clear" w:color="auto" w:fill="E6E6E6"/>
            <w:vAlign w:val="center"/>
          </w:tcPr>
          <w:p w14:paraId="4843055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指标定义</w:t>
            </w:r>
          </w:p>
        </w:tc>
        <w:tc>
          <w:tcPr>
            <w:tcW w:w="1950" w:type="dxa"/>
            <w:tcBorders>
              <w:top w:val="single" w:color="auto" w:sz="4" w:space="0"/>
              <w:left w:val="single" w:color="auto" w:sz="4" w:space="0"/>
              <w:bottom w:val="single" w:color="auto" w:sz="4" w:space="0"/>
              <w:right w:val="single" w:color="auto" w:sz="4" w:space="0"/>
            </w:tcBorders>
            <w:shd w:val="clear" w:color="auto" w:fill="E6E6E6"/>
            <w:vAlign w:val="center"/>
          </w:tcPr>
          <w:p w14:paraId="5C6EB0E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标准</w:t>
            </w:r>
          </w:p>
        </w:tc>
      </w:tr>
      <w:tr w14:paraId="6992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87" w:type="dxa"/>
            <w:vMerge w:val="restart"/>
            <w:tcBorders>
              <w:top w:val="single" w:color="auto" w:sz="4" w:space="0"/>
              <w:left w:val="single" w:color="auto" w:sz="4" w:space="0"/>
              <w:bottom w:val="single" w:color="auto" w:sz="4" w:space="0"/>
              <w:right w:val="single" w:color="auto" w:sz="4" w:space="0"/>
            </w:tcBorders>
            <w:vAlign w:val="center"/>
          </w:tcPr>
          <w:p w14:paraId="77EB2B9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数据专线</w:t>
            </w:r>
          </w:p>
        </w:tc>
        <w:tc>
          <w:tcPr>
            <w:tcW w:w="988" w:type="dxa"/>
            <w:tcBorders>
              <w:top w:val="single" w:color="auto" w:sz="4" w:space="0"/>
              <w:left w:val="single" w:color="auto" w:sz="4" w:space="0"/>
              <w:bottom w:val="single" w:color="auto" w:sz="4" w:space="0"/>
              <w:right w:val="single" w:color="auto" w:sz="4" w:space="0"/>
            </w:tcBorders>
            <w:vAlign w:val="center"/>
          </w:tcPr>
          <w:p w14:paraId="22387C8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误码率</w:t>
            </w:r>
          </w:p>
        </w:tc>
        <w:tc>
          <w:tcPr>
            <w:tcW w:w="3912" w:type="dxa"/>
            <w:tcBorders>
              <w:top w:val="single" w:color="auto" w:sz="4" w:space="0"/>
              <w:left w:val="single" w:color="auto" w:sz="4" w:space="0"/>
              <w:bottom w:val="single" w:color="auto" w:sz="4" w:space="0"/>
              <w:right w:val="single" w:color="auto" w:sz="4" w:space="0"/>
            </w:tcBorders>
            <w:vAlign w:val="center"/>
          </w:tcPr>
          <w:p w14:paraId="45DA05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在一个确定的测试期间，接收出现差错的比特数与总发送的比特数之比</w:t>
            </w:r>
          </w:p>
        </w:tc>
        <w:tc>
          <w:tcPr>
            <w:tcW w:w="1950" w:type="dxa"/>
            <w:tcBorders>
              <w:top w:val="single" w:color="auto" w:sz="4" w:space="0"/>
              <w:left w:val="single" w:color="auto" w:sz="4" w:space="0"/>
              <w:bottom w:val="single" w:color="auto" w:sz="4" w:space="0"/>
              <w:right w:val="single" w:color="auto" w:sz="4" w:space="0"/>
            </w:tcBorders>
            <w:vAlign w:val="center"/>
          </w:tcPr>
          <w:p w14:paraId="7EE24F4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≤1e-9</w:t>
            </w:r>
          </w:p>
        </w:tc>
      </w:tr>
      <w:tr w14:paraId="12FD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7922596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p>
        </w:tc>
        <w:tc>
          <w:tcPr>
            <w:tcW w:w="988" w:type="dxa"/>
            <w:tcBorders>
              <w:top w:val="single" w:color="auto" w:sz="4" w:space="0"/>
              <w:left w:val="single" w:color="auto" w:sz="4" w:space="0"/>
              <w:bottom w:val="single" w:color="auto" w:sz="4" w:space="0"/>
              <w:right w:val="single" w:color="auto" w:sz="4" w:space="0"/>
            </w:tcBorders>
            <w:vAlign w:val="center"/>
          </w:tcPr>
          <w:p w14:paraId="4FBFF16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时延</w:t>
            </w:r>
          </w:p>
        </w:tc>
        <w:tc>
          <w:tcPr>
            <w:tcW w:w="3912" w:type="dxa"/>
            <w:tcBorders>
              <w:top w:val="single" w:color="auto" w:sz="4" w:space="0"/>
              <w:left w:val="single" w:color="auto" w:sz="4" w:space="0"/>
              <w:bottom w:val="single" w:color="auto" w:sz="4" w:space="0"/>
              <w:right w:val="single" w:color="auto" w:sz="4" w:space="0"/>
            </w:tcBorders>
            <w:vAlign w:val="center"/>
          </w:tcPr>
          <w:p w14:paraId="067F7AA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端到端不丢包情况下的网络转发数据所用时间，包括传输时延和传输节点处理时延。</w:t>
            </w:r>
          </w:p>
        </w:tc>
        <w:tc>
          <w:tcPr>
            <w:tcW w:w="1950" w:type="dxa"/>
            <w:tcBorders>
              <w:top w:val="single" w:color="auto" w:sz="4" w:space="0"/>
              <w:left w:val="single" w:color="auto" w:sz="4" w:space="0"/>
              <w:bottom w:val="single" w:color="auto" w:sz="4" w:space="0"/>
              <w:right w:val="single" w:color="auto" w:sz="4" w:space="0"/>
            </w:tcBorders>
            <w:vAlign w:val="center"/>
          </w:tcPr>
          <w:p w14:paraId="3FF229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跨省、跨市时延：0.8ms/百公里（单向时延）；本地网内≤10ms</w:t>
            </w:r>
          </w:p>
        </w:tc>
      </w:tr>
      <w:tr w14:paraId="21BA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1D2BF2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p>
        </w:tc>
        <w:tc>
          <w:tcPr>
            <w:tcW w:w="988" w:type="dxa"/>
            <w:tcBorders>
              <w:top w:val="single" w:color="auto" w:sz="4" w:space="0"/>
              <w:left w:val="single" w:color="auto" w:sz="4" w:space="0"/>
              <w:bottom w:val="single" w:color="auto" w:sz="4" w:space="0"/>
              <w:right w:val="single" w:color="auto" w:sz="4" w:space="0"/>
            </w:tcBorders>
            <w:vAlign w:val="center"/>
          </w:tcPr>
          <w:p w14:paraId="7D37E6D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丢包率</w:t>
            </w:r>
          </w:p>
        </w:tc>
        <w:tc>
          <w:tcPr>
            <w:tcW w:w="3912" w:type="dxa"/>
            <w:tcBorders>
              <w:top w:val="single" w:color="auto" w:sz="4" w:space="0"/>
              <w:left w:val="single" w:color="auto" w:sz="4" w:space="0"/>
              <w:bottom w:val="single" w:color="auto" w:sz="4" w:space="0"/>
              <w:right w:val="single" w:color="auto" w:sz="4" w:space="0"/>
            </w:tcBorders>
            <w:vAlign w:val="center"/>
          </w:tcPr>
          <w:p w14:paraId="6F9F71E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kern w:val="0"/>
                <w:sz w:val="24"/>
                <w:szCs w:val="24"/>
              </w:rPr>
            </w:pPr>
            <w:r>
              <w:rPr>
                <w:rFonts w:hint="eastAsia" w:ascii="华文楷体" w:hAnsi="华文楷体" w:eastAsia="华文楷体" w:cs="华文楷体"/>
                <w:kern w:val="0"/>
                <w:sz w:val="24"/>
                <w:szCs w:val="24"/>
              </w:rPr>
              <w:t>在网络稳定状态下由于网络资源缺乏造成的不能转发的数据帧和总数据帧的百分比</w:t>
            </w:r>
          </w:p>
        </w:tc>
        <w:tc>
          <w:tcPr>
            <w:tcW w:w="1950" w:type="dxa"/>
            <w:tcBorders>
              <w:top w:val="single" w:color="auto" w:sz="4" w:space="0"/>
              <w:left w:val="single" w:color="auto" w:sz="4" w:space="0"/>
              <w:bottom w:val="single" w:color="auto" w:sz="4" w:space="0"/>
              <w:right w:val="single" w:color="auto" w:sz="4" w:space="0"/>
            </w:tcBorders>
            <w:vAlign w:val="center"/>
          </w:tcPr>
          <w:p w14:paraId="17A5F99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华文楷体" w:hAnsi="华文楷体" w:eastAsia="华文楷体" w:cs="华文楷体"/>
                <w:kern w:val="0"/>
                <w:sz w:val="24"/>
                <w:szCs w:val="24"/>
                <w:lang w:eastAsia="zh-CN"/>
              </w:rPr>
            </w:pPr>
            <w:r>
              <w:rPr>
                <w:rFonts w:hint="eastAsia" w:ascii="华文楷体" w:hAnsi="华文楷体" w:eastAsia="华文楷体" w:cs="华文楷体"/>
                <w:kern w:val="0"/>
                <w:sz w:val="24"/>
                <w:szCs w:val="24"/>
              </w:rPr>
              <w:t>在正常带宽负荷下（负荷小于70％）≤0.1%（挂表测试为准）</w:t>
            </w:r>
            <w:r>
              <w:rPr>
                <w:rFonts w:hint="eastAsia" w:ascii="华文楷体" w:hAnsi="华文楷体" w:eastAsia="华文楷体" w:cs="华文楷体"/>
                <w:kern w:val="0"/>
                <w:sz w:val="24"/>
                <w:szCs w:val="24"/>
                <w:lang w:eastAsia="zh-CN"/>
              </w:rPr>
              <w:t>。</w:t>
            </w:r>
          </w:p>
        </w:tc>
      </w:tr>
    </w:tbl>
    <w:p w14:paraId="05660051">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华文楷体" w:hAnsi="华文楷体" w:eastAsia="华文楷体" w:cs="华文楷体"/>
          <w:b/>
          <w:bCs/>
          <w:color w:val="000000"/>
          <w:sz w:val="28"/>
          <w:szCs w:val="28"/>
          <w:lang w:eastAsia="zh-CN" w:bidi="ar"/>
        </w:rPr>
      </w:pPr>
      <w:r>
        <w:rPr>
          <w:rFonts w:hint="eastAsia" w:ascii="华文楷体" w:hAnsi="华文楷体" w:eastAsia="华文楷体" w:cs="华文楷体"/>
          <w:b/>
          <w:bCs/>
          <w:color w:val="000000"/>
          <w:sz w:val="28"/>
          <w:szCs w:val="28"/>
          <w:lang w:eastAsia="zh-CN" w:bidi="ar"/>
        </w:rPr>
        <w:t>三</w:t>
      </w:r>
      <w:r>
        <w:rPr>
          <w:rFonts w:hint="eastAsia" w:ascii="华文楷体" w:hAnsi="华文楷体" w:eastAsia="华文楷体" w:cs="华文楷体"/>
          <w:b/>
          <w:bCs/>
          <w:color w:val="000000"/>
          <w:sz w:val="28"/>
          <w:szCs w:val="28"/>
          <w:lang w:eastAsia="zh-Hans" w:bidi="ar"/>
        </w:rPr>
        <w:t>、</w:t>
      </w:r>
      <w:r>
        <w:rPr>
          <w:rFonts w:hint="eastAsia" w:ascii="华文楷体" w:hAnsi="华文楷体" w:eastAsia="华文楷体" w:cs="华文楷体"/>
          <w:b/>
          <w:bCs/>
          <w:color w:val="000000"/>
          <w:sz w:val="28"/>
          <w:szCs w:val="28"/>
          <w:lang w:eastAsia="zh-CN" w:bidi="ar"/>
        </w:rPr>
        <w:t>售后服务</w:t>
      </w:r>
    </w:p>
    <w:p w14:paraId="5246131F">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kern w:val="2"/>
          <w:sz w:val="28"/>
          <w:szCs w:val="28"/>
          <w:lang w:val="en-US" w:eastAsia="zh-CN" w:bidi="ar"/>
        </w:rPr>
      </w:pPr>
      <w:r>
        <w:rPr>
          <w:rFonts w:hint="eastAsia" w:ascii="华文楷体" w:hAnsi="华文楷体" w:eastAsia="华文楷体" w:cs="华文楷体"/>
          <w:color w:val="000000"/>
          <w:kern w:val="2"/>
          <w:sz w:val="28"/>
          <w:szCs w:val="28"/>
          <w:lang w:val="en-US" w:eastAsia="zh-CN" w:bidi="ar"/>
        </w:rPr>
        <w:t>1、运维保障全面</w:t>
      </w:r>
    </w:p>
    <w:p w14:paraId="6C033A85">
      <w:pPr>
        <w:keepNext w:val="0"/>
        <w:keepLines w:val="0"/>
        <w:pageBreakBefore w:val="0"/>
        <w:kinsoku/>
        <w:wordWrap/>
        <w:overflowPunct/>
        <w:topLinePunct w:val="0"/>
        <w:autoSpaceDE/>
        <w:autoSpaceDN/>
        <w:bidi w:val="0"/>
        <w:adjustRightInd/>
        <w:snapToGrid/>
        <w:spacing w:line="400" w:lineRule="exact"/>
        <w:ind w:firstLine="420"/>
        <w:textAlignment w:val="auto"/>
        <w:rPr>
          <w:rFonts w:hint="eastAsia" w:ascii="华文楷体" w:hAnsi="华文楷体" w:eastAsia="华文楷体" w:cs="华文楷体"/>
          <w:color w:val="000000"/>
          <w:kern w:val="2"/>
          <w:sz w:val="28"/>
          <w:szCs w:val="28"/>
          <w:lang w:val="en-US" w:eastAsia="zh-CN" w:bidi="ar"/>
        </w:rPr>
      </w:pPr>
      <w:r>
        <w:rPr>
          <w:rFonts w:hint="eastAsia" w:ascii="华文楷体" w:hAnsi="华文楷体" w:eastAsia="华文楷体" w:cs="华文楷体"/>
          <w:color w:val="000000"/>
          <w:kern w:val="2"/>
          <w:sz w:val="28"/>
          <w:szCs w:val="28"/>
          <w:lang w:val="en-US" w:eastAsia="zh-CN" w:bidi="ar"/>
        </w:rPr>
        <w:t>7*24h全网监控，故障直接联系维护人员，第一时间恢复业务故障，全面确保网络质量。</w:t>
      </w:r>
    </w:p>
    <w:p w14:paraId="564E549F">
      <w:pPr>
        <w:keepNext w:val="0"/>
        <w:keepLines w:val="0"/>
        <w:pageBreakBefore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kern w:val="2"/>
          <w:sz w:val="28"/>
          <w:szCs w:val="28"/>
          <w:lang w:val="en-US" w:eastAsia="zh-CN" w:bidi="ar"/>
        </w:rPr>
      </w:pPr>
      <w:r>
        <w:rPr>
          <w:rFonts w:hint="eastAsia" w:ascii="华文楷体" w:hAnsi="华文楷体" w:eastAsia="华文楷体" w:cs="华文楷体"/>
          <w:color w:val="000000"/>
          <w:kern w:val="2"/>
          <w:sz w:val="28"/>
          <w:szCs w:val="28"/>
          <w:lang w:val="en-US" w:eastAsia="zh-CN" w:bidi="ar"/>
        </w:rPr>
        <w:t>2、业务扩容零中断</w:t>
      </w:r>
    </w:p>
    <w:p w14:paraId="2ECB8C5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000000"/>
          <w:sz w:val="24"/>
          <w:szCs w:val="24"/>
          <w:lang w:val="en-US" w:eastAsia="zh-CN"/>
        </w:rPr>
      </w:pPr>
      <w:r>
        <w:rPr>
          <w:rFonts w:hint="eastAsia" w:ascii="华文楷体" w:hAnsi="华文楷体" w:eastAsia="华文楷体" w:cs="华文楷体"/>
          <w:color w:val="000000"/>
          <w:kern w:val="2"/>
          <w:sz w:val="28"/>
          <w:szCs w:val="28"/>
          <w:lang w:val="en-US" w:eastAsia="zh-CN" w:bidi="ar"/>
        </w:rPr>
        <w:t>专线使用PTN开通，PTN分组传输技术更具有业务不中断灵活扩容的特点。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B3C28C"/>
    <w:multiLevelType w:val="singleLevel"/>
    <w:tmpl w:val="5EB3C28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5E1A"/>
    <w:rsid w:val="0A43064D"/>
    <w:rsid w:val="0B027295"/>
    <w:rsid w:val="0B961788"/>
    <w:rsid w:val="10655724"/>
    <w:rsid w:val="10710382"/>
    <w:rsid w:val="10F44B0F"/>
    <w:rsid w:val="134B1AEF"/>
    <w:rsid w:val="1E544E07"/>
    <w:rsid w:val="22A52EE6"/>
    <w:rsid w:val="2D0740A4"/>
    <w:rsid w:val="40B959C1"/>
    <w:rsid w:val="4890386E"/>
    <w:rsid w:val="4AFB323E"/>
    <w:rsid w:val="4EBD75BF"/>
    <w:rsid w:val="4F0D2FED"/>
    <w:rsid w:val="52BF40B0"/>
    <w:rsid w:val="52D553B1"/>
    <w:rsid w:val="564B37CF"/>
    <w:rsid w:val="583F24EE"/>
    <w:rsid w:val="73723688"/>
    <w:rsid w:val="76A41635"/>
    <w:rsid w:val="7AD71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9"/>
    <w:pPr>
      <w:keepNext/>
      <w:keepLines/>
      <w:widowControl w:val="0"/>
      <w:spacing w:before="340" w:after="330" w:line="576" w:lineRule="auto"/>
      <w:outlineLvl w:val="0"/>
    </w:pPr>
    <w:rPr>
      <w:b/>
      <w:bCs/>
      <w:kern w:val="44"/>
      <w:sz w:val="44"/>
      <w:szCs w:val="44"/>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szCs w:val="24"/>
    </w:rPr>
  </w:style>
  <w:style w:type="paragraph" w:styleId="4">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5">
    <w:name w:val="Normal (Web)"/>
    <w:basedOn w:val="1"/>
    <w:unhideWhenUsed/>
    <w:qFormat/>
    <w:uiPriority w:val="99"/>
    <w:rPr>
      <w:sz w:val="24"/>
    </w:rPr>
  </w:style>
  <w:style w:type="paragraph" w:styleId="6">
    <w:name w:val="Body Text First Indent"/>
    <w:basedOn w:val="2"/>
    <w:unhideWhenUsed/>
    <w:qFormat/>
    <w:uiPriority w:val="99"/>
    <w:pPr>
      <w:spacing w:after="120"/>
      <w:ind w:firstLine="420" w:firstLineChars="100"/>
    </w:pPr>
    <w:rPr>
      <w:rFonts w:ascii="Times New Roman" w:hAnsi="Times New Roman"/>
      <w:szCs w:val="21"/>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4075</Words>
  <Characters>4225</Characters>
  <Lines>0</Lines>
  <Paragraphs>0</Paragraphs>
  <TotalTime>0</TotalTime>
  <ScaleCrop>false</ScaleCrop>
  <LinksUpToDate>false</LinksUpToDate>
  <CharactersWithSpaces>4225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2025-04-29T02:15:44Z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6D997BA81DB64119A9900CE3B13D7180_12</vt:lpwstr>
  </property>
  <property fmtid="{D5CDD505-2E9C-101B-9397-08002B2CF9AE}" pid="4" name="KSOTemplateDocerSaveRecord">
    <vt:lpwstr>eyJoZGlkIjoiN2Q1ZTc0NDM1ODQ3ZDBmZjVjZDUzNjlmN2Y4ODAwYWEiLCJ1c2VySWQiOiIyNTAxMzU4MjAifQ==</vt:lpwstr>
  </property>
</Properties>
</file>