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19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 w:bidi="ar-SA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 w:bidi="ar-SA"/>
        </w:rPr>
        <w:t>附件1：安宁市第一人民医院（金方院区）血透用水处理系统维保服务项目采购需求</w:t>
      </w:r>
    </w:p>
    <w:p w14:paraId="27562DCE">
      <w:pPr>
        <w:keepNext w:val="0"/>
        <w:keepLines w:val="0"/>
        <w:pageBreakBefore w:val="0"/>
        <w:widowControl w:val="0"/>
        <w:kinsoku/>
        <w:overflowPunct/>
        <w:bidi w:val="0"/>
        <w:snapToGrid w:val="0"/>
        <w:spacing w:line="360" w:lineRule="auto"/>
        <w:textAlignment w:val="auto"/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一、服务地点及维保设备:安宁市第一人民医院金方院区血透室水处理系统设备（型号：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RO Dia Ⅱ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C 1600）;</w:t>
      </w:r>
    </w:p>
    <w:p w14:paraId="0E2F55EE">
      <w:pPr>
        <w:keepNext w:val="0"/>
        <w:keepLines w:val="0"/>
        <w:pageBreakBefore w:val="0"/>
        <w:widowControl w:val="0"/>
        <w:kinsoku/>
        <w:overflowPunct/>
        <w:bidi w:val="0"/>
        <w:snapToGrid w:val="0"/>
        <w:spacing w:line="360" w:lineRule="auto"/>
        <w:textAlignment w:val="auto"/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二、维保期限及范围：一年；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整机全保（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包括日常保养、维修及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所有零配件、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耗材更换等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;</w:t>
      </w:r>
    </w:p>
    <w:p w14:paraId="3B92AF1E">
      <w:pPr>
        <w:keepNext w:val="0"/>
        <w:keepLines w:val="0"/>
        <w:pageBreakBefore w:val="0"/>
        <w:widowControl w:val="0"/>
        <w:kinsoku/>
        <w:overflowPunct/>
        <w:bidi w:val="0"/>
        <w:snapToGrid w:val="0"/>
        <w:spacing w:line="360" w:lineRule="auto"/>
        <w:textAlignment w:val="auto"/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维保开始即更换下列内容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6"/>
        <w:gridCol w:w="3336"/>
        <w:gridCol w:w="1056"/>
        <w:gridCol w:w="1080"/>
      </w:tblGrid>
      <w:tr w14:paraId="0A30A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16" w:type="dxa"/>
          </w:tcPr>
          <w:p w14:paraId="4F6AB40E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3336" w:type="dxa"/>
          </w:tcPr>
          <w:p w14:paraId="37DC10FD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规格型号</w:t>
            </w:r>
          </w:p>
        </w:tc>
        <w:tc>
          <w:tcPr>
            <w:tcW w:w="1056" w:type="dxa"/>
          </w:tcPr>
          <w:p w14:paraId="015AA874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080" w:type="dxa"/>
          </w:tcPr>
          <w:p w14:paraId="088A7CA3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A0B0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16" w:type="dxa"/>
          </w:tcPr>
          <w:p w14:paraId="6A9993BA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活性炭</w:t>
            </w:r>
          </w:p>
        </w:tc>
        <w:tc>
          <w:tcPr>
            <w:tcW w:w="3336" w:type="dxa"/>
          </w:tcPr>
          <w:p w14:paraId="0DFF4E2B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2162罐</w:t>
            </w:r>
          </w:p>
        </w:tc>
        <w:tc>
          <w:tcPr>
            <w:tcW w:w="1056" w:type="dxa"/>
          </w:tcPr>
          <w:p w14:paraId="1C6AD246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80" w:type="dxa"/>
          </w:tcPr>
          <w:p w14:paraId="39234AFA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133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16" w:type="dxa"/>
          </w:tcPr>
          <w:p w14:paraId="2B455EA7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树脂</w:t>
            </w:r>
          </w:p>
        </w:tc>
        <w:tc>
          <w:tcPr>
            <w:tcW w:w="3336" w:type="dxa"/>
          </w:tcPr>
          <w:p w14:paraId="0F165A36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1665罐</w:t>
            </w:r>
          </w:p>
        </w:tc>
        <w:tc>
          <w:tcPr>
            <w:tcW w:w="1056" w:type="dxa"/>
          </w:tcPr>
          <w:p w14:paraId="01E7B177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80" w:type="dxa"/>
          </w:tcPr>
          <w:p w14:paraId="716E70D6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B67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16" w:type="dxa"/>
          </w:tcPr>
          <w:p w14:paraId="2C5D3953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锰砂</w:t>
            </w:r>
          </w:p>
        </w:tc>
        <w:tc>
          <w:tcPr>
            <w:tcW w:w="3336" w:type="dxa"/>
          </w:tcPr>
          <w:p w14:paraId="12F1690E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2162罐</w:t>
            </w:r>
          </w:p>
        </w:tc>
        <w:tc>
          <w:tcPr>
            <w:tcW w:w="1056" w:type="dxa"/>
          </w:tcPr>
          <w:p w14:paraId="4343BDAE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80" w:type="dxa"/>
          </w:tcPr>
          <w:p w14:paraId="727AB343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75F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16" w:type="dxa"/>
          </w:tcPr>
          <w:p w14:paraId="500302F6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反渗膜</w:t>
            </w:r>
          </w:p>
        </w:tc>
        <w:tc>
          <w:tcPr>
            <w:tcW w:w="3336" w:type="dxa"/>
          </w:tcPr>
          <w:p w14:paraId="3FC8186B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8040 E1</w:t>
            </w:r>
          </w:p>
        </w:tc>
        <w:tc>
          <w:tcPr>
            <w:tcW w:w="1056" w:type="dxa"/>
          </w:tcPr>
          <w:p w14:paraId="4CA094E6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80" w:type="dxa"/>
          </w:tcPr>
          <w:p w14:paraId="777C0283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0EA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16" w:type="dxa"/>
          </w:tcPr>
          <w:p w14:paraId="24761515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反渗膜</w:t>
            </w:r>
          </w:p>
        </w:tc>
        <w:tc>
          <w:tcPr>
            <w:tcW w:w="3336" w:type="dxa"/>
          </w:tcPr>
          <w:p w14:paraId="2F271EFA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8040 E2</w:t>
            </w:r>
          </w:p>
        </w:tc>
        <w:tc>
          <w:tcPr>
            <w:tcW w:w="1056" w:type="dxa"/>
          </w:tcPr>
          <w:p w14:paraId="40FB7AD7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80" w:type="dxa"/>
          </w:tcPr>
          <w:p w14:paraId="3448E963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napToGrid w:val="0"/>
              <w:spacing w:line="360" w:lineRule="auto"/>
              <w:jc w:val="both"/>
              <w:textAlignment w:val="auto"/>
              <w:rPr>
                <w:rFonts w:hint="eastAsia" w:ascii="华文楷体" w:hAnsi="华文楷体" w:eastAsia="华文楷体" w:cs="华文楷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F7FA7F8">
      <w:pPr>
        <w:keepNext w:val="0"/>
        <w:keepLines w:val="0"/>
        <w:pageBreakBefore w:val="0"/>
        <w:widowControl w:val="0"/>
        <w:kinsoku/>
        <w:overflowPunct/>
        <w:bidi w:val="0"/>
        <w:snapToGrid w:val="0"/>
        <w:spacing w:line="360" w:lineRule="auto"/>
        <w:textAlignment w:val="auto"/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为了保证当前水处理系统的稳定性及产水品质，要求本次更换反渗膜和前处理罐填料物料（砂、树脂、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炭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）与水机配置一致，需提供关键物料（石英砂、锰砂、活性炭、树脂、反渗膜）进口报关单；</w:t>
      </w:r>
    </w:p>
    <w:p w14:paraId="21479A06">
      <w:pPr>
        <w:keepNext w:val="0"/>
        <w:keepLines w:val="0"/>
        <w:pageBreakBefore w:val="0"/>
        <w:widowControl w:val="0"/>
        <w:kinsoku/>
        <w:overflowPunct/>
        <w:bidi w:val="0"/>
        <w:snapToGrid w:val="0"/>
        <w:spacing w:line="360" w:lineRule="auto"/>
        <w:textAlignment w:val="auto"/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提供树脂总交换容量2.0Min.eq/L；最大均匀系数达到1.1；平均颗粒尺寸0.60（＋/-0.05）mm；</w:t>
      </w:r>
    </w:p>
    <w:p w14:paraId="4DE9794E">
      <w:pPr>
        <w:keepNext w:val="0"/>
        <w:keepLines w:val="0"/>
        <w:pageBreakBefore w:val="0"/>
        <w:widowControl w:val="0"/>
        <w:kinsoku/>
        <w:overflowPunct/>
        <w:bidi w:val="0"/>
        <w:snapToGrid w:val="0"/>
        <w:spacing w:line="360" w:lineRule="auto"/>
        <w:textAlignment w:val="auto"/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提供活性炭碘值（mg/g）不低于1100，是严格的质量控制下高温活化的椰壳颗粒活性炭，具有更大比表面积，更强的机械硬度，更多的孔隙和化学稳定性；</w:t>
      </w:r>
    </w:p>
    <w:p w14:paraId="10540F3D">
      <w:pPr>
        <w:keepNext w:val="0"/>
        <w:keepLines w:val="0"/>
        <w:pageBreakBefore w:val="0"/>
        <w:widowControl w:val="0"/>
        <w:kinsoku/>
        <w:overflowPunct/>
        <w:bidi w:val="0"/>
        <w:snapToGrid w:val="0"/>
        <w:spacing w:line="360" w:lineRule="auto"/>
        <w:textAlignment w:val="auto"/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4、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提供石英砂应为水晶石英砂类，SiO2含量达99%；</w:t>
      </w:r>
    </w:p>
    <w:p w14:paraId="5F3171D8">
      <w:pPr>
        <w:keepNext w:val="0"/>
        <w:keepLines w:val="0"/>
        <w:pageBreakBefore w:val="0"/>
        <w:widowControl w:val="0"/>
        <w:kinsoku/>
        <w:overflowPunct/>
        <w:bidi w:val="0"/>
        <w:snapToGrid w:val="0"/>
        <w:spacing w:line="360" w:lineRule="auto"/>
        <w:textAlignment w:val="auto"/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5、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提供锰砂筛目大小：9×35；密度：704-800kg/m3；</w:t>
      </w:r>
    </w:p>
    <w:p w14:paraId="033F1B22">
      <w:pPr>
        <w:keepNext w:val="0"/>
        <w:keepLines w:val="0"/>
        <w:pageBreakBefore w:val="0"/>
        <w:widowControl w:val="0"/>
        <w:kinsoku/>
        <w:overflowPunct/>
        <w:bidi w:val="0"/>
        <w:snapToGrid w:val="0"/>
        <w:spacing w:line="360" w:lineRule="auto"/>
        <w:textAlignment w:val="auto"/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维保材料、配件及工作的要求</w:t>
      </w:r>
    </w:p>
    <w:p w14:paraId="266AB61F">
      <w:pPr>
        <w:keepNext w:val="0"/>
        <w:keepLines w:val="0"/>
        <w:pageBreakBefore w:val="0"/>
        <w:widowControl w:val="0"/>
        <w:kinsoku/>
        <w:overflowPunct/>
        <w:bidi w:val="0"/>
        <w:snapToGrid w:val="0"/>
        <w:spacing w:line="360" w:lineRule="auto"/>
        <w:textAlignment w:val="auto"/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维修、维护、保养更换的配件及耗材，须是原厂正品配件，需验收确认后方能使用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;</w:t>
      </w:r>
    </w:p>
    <w:p w14:paraId="4D7F0F69">
      <w:pPr>
        <w:keepNext w:val="0"/>
        <w:keepLines w:val="0"/>
        <w:pageBreakBefore w:val="0"/>
        <w:widowControl w:val="0"/>
        <w:kinsoku/>
        <w:overflowPunct/>
        <w:bidi w:val="0"/>
        <w:snapToGrid w:val="0"/>
        <w:spacing w:line="360" w:lineRule="auto"/>
        <w:textAlignment w:val="auto"/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设备系统发生故障，维修、维护、保养所有需要的配件与耗材，制定具体的维修、维护、保养方案，严格按照方案定期更换配件与耗材，全面维护保养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;</w:t>
      </w:r>
    </w:p>
    <w:p w14:paraId="1A68B5A9">
      <w:pPr>
        <w:keepNext w:val="0"/>
        <w:keepLines w:val="0"/>
        <w:pageBreakBefore w:val="0"/>
        <w:widowControl w:val="0"/>
        <w:kinsoku/>
        <w:overflowPunct/>
        <w:bidi w:val="0"/>
        <w:snapToGrid w:val="0"/>
        <w:spacing w:line="360" w:lineRule="auto"/>
        <w:textAlignment w:val="auto"/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3、需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定期检查、维护、更换配件等，必须详细填写书面记录，医院管理人员签字确认留存作为凭证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;</w:t>
      </w:r>
    </w:p>
    <w:p w14:paraId="1D65D46A">
      <w:pPr>
        <w:keepNext w:val="0"/>
        <w:keepLines w:val="0"/>
        <w:pageBreakBefore w:val="0"/>
        <w:widowControl w:val="0"/>
        <w:kinsoku/>
        <w:overflowPunct/>
        <w:bidi w:val="0"/>
        <w:snapToGrid w:val="0"/>
        <w:spacing w:line="360" w:lineRule="auto"/>
        <w:textAlignment w:val="auto"/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4、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重大故障时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小时内到达现场进行维修工作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;</w:t>
      </w:r>
    </w:p>
    <w:p w14:paraId="50C1C606">
      <w:pPr>
        <w:keepNext w:val="0"/>
        <w:keepLines w:val="0"/>
        <w:pageBreakBefore w:val="0"/>
        <w:widowControl w:val="0"/>
        <w:kinsoku/>
        <w:overflowPunct/>
        <w:bidi w:val="0"/>
        <w:snapToGrid w:val="0"/>
        <w:spacing w:line="360" w:lineRule="auto"/>
        <w:textAlignment w:val="auto"/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5、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做好相关数据记录工作</w:t>
      </w: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;</w:t>
      </w:r>
    </w:p>
    <w:p w14:paraId="274D2518">
      <w:pPr>
        <w:keepNext w:val="0"/>
        <w:keepLines w:val="0"/>
        <w:pageBreakBefore w:val="0"/>
        <w:widowControl w:val="0"/>
        <w:kinsoku/>
        <w:overflowPunct/>
        <w:bidi w:val="0"/>
        <w:snapToGrid w:val="0"/>
        <w:spacing w:line="360" w:lineRule="auto"/>
        <w:textAlignment w:val="auto"/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6、供应商在本省内设有常驻服务机构；</w:t>
      </w:r>
    </w:p>
    <w:p w14:paraId="5D520493">
      <w:pPr>
        <w:keepNext w:val="0"/>
        <w:keepLines w:val="0"/>
        <w:pageBreakBefore w:val="0"/>
        <w:widowControl w:val="0"/>
        <w:kinsoku/>
        <w:overflowPunct/>
        <w:bidi w:val="0"/>
        <w:snapToGrid w:val="0"/>
        <w:spacing w:line="360" w:lineRule="auto"/>
        <w:textAlignment w:val="auto"/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7、维修人员需要具备维修劳铒水机专业工具:电导度表，安规仪等，提供实物照片、年检报告;</w:t>
      </w:r>
      <w:bookmarkStart w:id="0" w:name="_GoBack"/>
      <w:bookmarkEnd w:id="0"/>
    </w:p>
    <w:p w14:paraId="49E789C5">
      <w:pPr>
        <w:keepNext w:val="0"/>
        <w:keepLines w:val="0"/>
        <w:pageBreakBefore w:val="0"/>
        <w:widowControl w:val="0"/>
        <w:kinsoku/>
        <w:overflowPunct/>
        <w:bidi w:val="0"/>
        <w:snapToGrid w:val="0"/>
        <w:spacing w:line="360" w:lineRule="auto"/>
        <w:textAlignment w:val="auto"/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8、供应商需要具备原厂授权书，维修工程师必须为经过设备厂家严格培训考核，获得厂家维修资格合格证的人员(合格证书需提供原件)，提供不低于原厂工程师技术能力的维修保障服务，及时发现并解决故障。</w:t>
      </w:r>
    </w:p>
    <w:p w14:paraId="59095225">
      <w:pPr>
        <w:keepNext w:val="0"/>
        <w:keepLines w:val="0"/>
        <w:pageBreakBefore w:val="0"/>
        <w:widowControl w:val="0"/>
        <w:kinsoku/>
        <w:overflowPunct/>
        <w:bidi w:val="0"/>
        <w:snapToGrid w:val="0"/>
        <w:spacing w:line="360" w:lineRule="auto"/>
        <w:textAlignment w:val="auto"/>
        <w:rPr>
          <w:rFonts w:hint="eastAsia" w:ascii="宋体" w:hAnsi="宋体" w:eastAsia="宋体"/>
          <w:color w:val="auto"/>
          <w:sz w:val="28"/>
          <w:szCs w:val="28"/>
          <w:highlight w:val="none"/>
          <w:lang w:val="en-US" w:eastAsia="zh-CN"/>
        </w:rPr>
      </w:pPr>
    </w:p>
    <w:p w14:paraId="1FEF2745">
      <w:pPr>
        <w:spacing w:line="360" w:lineRule="auto"/>
        <w:rPr>
          <w:sz w:val="28"/>
          <w:szCs w:val="28"/>
        </w:rPr>
      </w:pPr>
    </w:p>
    <w:sectPr>
      <w:pgSz w:w="11906" w:h="16838"/>
      <w:pgMar w:top="1417" w:right="1417" w:bottom="1417" w:left="1417" w:header="850" w:footer="850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RotisSansSerif">
    <w:altName w:val="Segoe Print"/>
    <w:panose1 w:val="00000000000000000000"/>
    <w:charset w:val="00"/>
    <w:family w:val="swiss"/>
    <w:pitch w:val="default"/>
    <w:sig w:usb0="00000000" w:usb1="00000000" w:usb2="00000000" w:usb3="00000000" w:csb0="0000009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3YzJjZGU4Y2NhZWIyN2VjYWM4MDYzMGYzZWI2OGQifQ=="/>
    <w:docVar w:name="KY_MEDREF_DOCUID" w:val="{4CC1DAEA-9135-41A4-AA31-29A834F81E0A}"/>
    <w:docVar w:name="KY_MEDREF_VERSION" w:val="3"/>
  </w:docVars>
  <w:rsids>
    <w:rsidRoot w:val="00000000"/>
    <w:rsid w:val="03C76963"/>
    <w:rsid w:val="050D1FEB"/>
    <w:rsid w:val="0F774BC5"/>
    <w:rsid w:val="1C5655EF"/>
    <w:rsid w:val="20362DF6"/>
    <w:rsid w:val="23BD0FF5"/>
    <w:rsid w:val="28BD5A02"/>
    <w:rsid w:val="2DF61A6F"/>
    <w:rsid w:val="2F9C1940"/>
    <w:rsid w:val="42A11B51"/>
    <w:rsid w:val="46CF6F67"/>
    <w:rsid w:val="58756D48"/>
    <w:rsid w:val="5CCA7B15"/>
    <w:rsid w:val="5DD05EC7"/>
    <w:rsid w:val="5EAB30D5"/>
    <w:rsid w:val="688A4CB2"/>
    <w:rsid w:val="69C45FA2"/>
    <w:rsid w:val="6D3254C5"/>
    <w:rsid w:val="70034AEB"/>
    <w:rsid w:val="71547B5A"/>
    <w:rsid w:val="74147B26"/>
    <w:rsid w:val="7CEA6ED2"/>
    <w:rsid w:val="7E8646D7"/>
    <w:rsid w:val="7FC83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99"/>
    <w:pPr>
      <w:widowControl w:val="0"/>
      <w:jc w:val="both"/>
    </w:pPr>
    <w:rPr>
      <w:rFonts w:ascii="Calibri" w:hAnsi="Calibri" w:eastAsia="Times New Roman" w:cs="Times New Roman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Default"/>
    <w:qFormat/>
    <w:uiPriority w:val="0"/>
    <w:pPr>
      <w:autoSpaceDE w:val="0"/>
      <w:autoSpaceDN w:val="0"/>
      <w:adjustRightInd w:val="0"/>
    </w:pPr>
    <w:rPr>
      <w:rFonts w:ascii="RotisSansSerif" w:hAnsi="RotisSansSerif" w:eastAsia="宋体" w:cs="RotisSansSerif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752</Words>
  <Characters>821</Characters>
  <Lines>0</Lines>
  <Paragraphs>0</Paragraphs>
  <TotalTime>5</TotalTime>
  <ScaleCrop>false</ScaleCrop>
  <LinksUpToDate>false</LinksUpToDate>
  <CharactersWithSpaces>827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2024-05-29T00:34:00Z</dcterms:created>
  <dc:creator>ASUS</dc:creator>
  <cp:lastModifiedBy>木香</cp:lastModifiedBy>
  <dcterms:modified xsi:type="dcterms:W3CDTF">2025-02-28T02:46:02Z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86126DA34C564E0E842CA5E186B3A113_13</vt:lpwstr>
  </property>
  <property fmtid="{D5CDD505-2E9C-101B-9397-08002B2CF9AE}" pid="4" name="KSOTemplateDocerSaveRecord">
    <vt:lpwstr>eyJoZGlkIjoiN2Q1ZTc0NDM1ODQ3ZDBmZjVjZDUzNjlmN2Y4ODAwYWEiLCJ1c2VySWQiOiIyNTAxMzU4MjAifQ==</vt:lpwstr>
  </property>
</Properties>
</file>