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CF4AD">
      <w:pPr>
        <w:pStyle w:val="10"/>
        <w:rPr>
          <w:rFonts w:hint="eastAsia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附件3安宁市第一人民医院未被污染输液瓶袋回收处置合作单位遴选项目（2025-2027年）评分标准</w:t>
      </w:r>
    </w:p>
    <w:tbl>
      <w:tblPr>
        <w:tblStyle w:val="8"/>
        <w:tblpPr w:leftFromText="4536" w:rightFromText="4536" w:bottomFromText="284" w:vertAnchor="text" w:tblpXSpec="center" w:tblpY="1"/>
        <w:tblOverlap w:val="never"/>
        <w:tblW w:w="430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798"/>
        <w:gridCol w:w="5333"/>
      </w:tblGrid>
      <w:tr w14:paraId="32E1D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0" w:hRule="atLeast"/>
        </w:trPr>
        <w:tc>
          <w:tcPr>
            <w:tcW w:w="825" w:type="pct"/>
            <w:vAlign w:val="center"/>
          </w:tcPr>
          <w:p w14:paraId="2D76A2B0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  <w:lang w:eastAsia="zh-CN"/>
              </w:rPr>
              <w:t>评审因素</w:t>
            </w:r>
          </w:p>
        </w:tc>
        <w:tc>
          <w:tcPr>
            <w:tcW w:w="543" w:type="pct"/>
            <w:vAlign w:val="center"/>
          </w:tcPr>
          <w:p w14:paraId="01D55DBE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分值</w:t>
            </w:r>
          </w:p>
        </w:tc>
        <w:tc>
          <w:tcPr>
            <w:tcW w:w="3631" w:type="pct"/>
            <w:vAlign w:val="center"/>
          </w:tcPr>
          <w:p w14:paraId="1DB95B0A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szCs w:val="24"/>
              </w:rPr>
              <w:t>评分标准</w:t>
            </w:r>
          </w:p>
        </w:tc>
      </w:tr>
      <w:tr w14:paraId="2B529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25" w:type="pct"/>
            <w:vAlign w:val="center"/>
          </w:tcPr>
          <w:p w14:paraId="61A41171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项目人员配备方案评分</w:t>
            </w:r>
          </w:p>
        </w:tc>
        <w:tc>
          <w:tcPr>
            <w:tcW w:w="543" w:type="pct"/>
            <w:vAlign w:val="center"/>
          </w:tcPr>
          <w:p w14:paraId="67057159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分</w:t>
            </w:r>
          </w:p>
        </w:tc>
        <w:tc>
          <w:tcPr>
            <w:tcW w:w="3631" w:type="pct"/>
            <w:vAlign w:val="center"/>
          </w:tcPr>
          <w:p w14:paraId="1585D9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1、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供应商提供的项目人员配备方案详细、全面、合理、可行的得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7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-1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分，较详细、较全面、较合理、较可行的得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4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6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分，不够详细、 不够全面、不够合理、不够可行的得 1-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分，未提供的不得分；</w:t>
            </w:r>
          </w:p>
          <w:p w14:paraId="69F212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2、</w:t>
            </w:r>
            <w:r>
              <w:rPr>
                <w:rFonts w:hint="eastAsia" w:ascii="华文楷体" w:hAnsi="华文楷体" w:eastAsia="华文楷体" w:cs="华文楷体"/>
                <w:szCs w:val="21"/>
                <w:lang w:eastAsia="zh-CN"/>
              </w:rPr>
              <w:t>相关人员需提供劳动合同或社保缴纳证明为本公司在职员工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</w:t>
            </w:r>
          </w:p>
        </w:tc>
      </w:tr>
      <w:tr w14:paraId="5EC3B6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25" w:type="pct"/>
            <w:vAlign w:val="center"/>
          </w:tcPr>
          <w:p w14:paraId="0C65C9DB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543" w:type="pct"/>
            <w:vAlign w:val="center"/>
          </w:tcPr>
          <w:p w14:paraId="3114B9A5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right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</w:rPr>
              <w:t>10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631" w:type="pct"/>
            <w:vAlign w:val="center"/>
          </w:tcPr>
          <w:p w14:paraId="101D1811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提供详细的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</w:rPr>
              <w:t>，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评审小组</w:t>
            </w:r>
            <w:r>
              <w:rPr>
                <w:rFonts w:hint="eastAsia" w:ascii="华文楷体" w:hAnsi="华文楷体" w:eastAsia="华文楷体" w:cs="华文楷体"/>
              </w:rPr>
              <w:t>根据各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供应商</w:t>
            </w:r>
            <w:r>
              <w:rPr>
                <w:rFonts w:hint="eastAsia" w:ascii="华文楷体" w:hAnsi="华文楷体" w:eastAsia="华文楷体" w:cs="华文楷体"/>
              </w:rPr>
              <w:t>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服务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质量承诺及保证措施</w:t>
            </w:r>
            <w:r>
              <w:rPr>
                <w:rFonts w:hint="eastAsia" w:ascii="华文楷体" w:hAnsi="华文楷体" w:eastAsia="华文楷体" w:cs="华文楷体"/>
              </w:rPr>
              <w:t>，综合打分：</w:t>
            </w:r>
          </w:p>
          <w:p w14:paraId="11109EFB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1、服务措施切实可行、内容全面，能全面满足业主要求的得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7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-1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0</w:t>
            </w:r>
            <w:r>
              <w:rPr>
                <w:rFonts w:hint="eastAsia" w:ascii="华文楷体" w:hAnsi="华文楷体" w:eastAsia="华文楷体" w:cs="华文楷体"/>
              </w:rPr>
              <w:t>分；</w:t>
            </w:r>
          </w:p>
          <w:p w14:paraId="07F6645B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</w:rPr>
            </w:pPr>
            <w:r>
              <w:rPr>
                <w:rFonts w:hint="eastAsia" w:ascii="华文楷体" w:hAnsi="华文楷体" w:eastAsia="华文楷体" w:cs="华文楷体"/>
              </w:rPr>
              <w:t>2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</w:rPr>
              <w:t>服务措施基本能满足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采购人</w:t>
            </w:r>
            <w:r>
              <w:rPr>
                <w:rFonts w:hint="eastAsia" w:ascii="华文楷体" w:hAnsi="华文楷体" w:eastAsia="华文楷体" w:cs="华文楷体"/>
              </w:rPr>
              <w:t>要求的得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4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6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 w:cs="华文楷体"/>
              </w:rPr>
              <w:t>分；</w:t>
            </w:r>
          </w:p>
          <w:p w14:paraId="4A13E872">
            <w:pPr>
              <w:pStyle w:val="12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华文楷体" w:hAnsi="华文楷体" w:eastAsia="华文楷体" w:cs="华文楷体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</w:rPr>
              <w:t>3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、</w:t>
            </w:r>
            <w:r>
              <w:rPr>
                <w:rFonts w:hint="eastAsia" w:ascii="华文楷体" w:hAnsi="华文楷体" w:eastAsia="华文楷体" w:cs="华文楷体"/>
              </w:rPr>
              <w:t>无法满足需求的得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1-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</w:rPr>
              <w:t>分</w:t>
            </w:r>
            <w:r>
              <w:rPr>
                <w:rFonts w:hint="eastAsia" w:ascii="华文楷体" w:hAnsi="华文楷体" w:eastAsia="华文楷体" w:cs="华文楷体"/>
                <w:lang w:eastAsia="zh-CN"/>
              </w:rPr>
              <w:t>；</w:t>
            </w:r>
          </w:p>
          <w:p w14:paraId="43A77F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4、</w:t>
            </w:r>
            <w:r>
              <w:rPr>
                <w:rFonts w:hint="eastAsia" w:ascii="华文楷体" w:hAnsi="华文楷体" w:eastAsia="华文楷体" w:cs="华文楷体"/>
              </w:rPr>
              <w:t>未提供</w:t>
            </w:r>
            <w:r>
              <w:rPr>
                <w:rFonts w:hint="eastAsia" w:ascii="华文楷体" w:hAnsi="华文楷体" w:eastAsia="华文楷体" w:cs="华文楷体"/>
                <w:lang w:val="en-US" w:eastAsia="zh-CN"/>
              </w:rPr>
              <w:t>得0</w:t>
            </w:r>
            <w:r>
              <w:rPr>
                <w:rFonts w:hint="eastAsia" w:ascii="华文楷体" w:hAnsi="华文楷体" w:eastAsia="华文楷体" w:cs="华文楷体"/>
              </w:rPr>
              <w:t>分。</w:t>
            </w:r>
          </w:p>
        </w:tc>
      </w:tr>
      <w:tr w14:paraId="1F18BD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25" w:type="pct"/>
            <w:vAlign w:val="center"/>
          </w:tcPr>
          <w:p w14:paraId="0F919758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543" w:type="pct"/>
            <w:vAlign w:val="center"/>
          </w:tcPr>
          <w:p w14:paraId="213FDAD8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60分</w:t>
            </w:r>
          </w:p>
        </w:tc>
        <w:tc>
          <w:tcPr>
            <w:tcW w:w="3631" w:type="pct"/>
            <w:vAlign w:val="center"/>
          </w:tcPr>
          <w:p w14:paraId="2EF15F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第一个档次：提供的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详细具体、完整、具有针对性、 响应及时得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41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60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6B1044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第二个档次：提供的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基本完整、基本合理，可行性一 般得 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21-40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221BFC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第三个档次：提供的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较差得 1-</w:t>
            </w: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szCs w:val="21"/>
              </w:rPr>
              <w:t xml:space="preserve"> 分；</w:t>
            </w:r>
          </w:p>
          <w:p w14:paraId="72C6F8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left"/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第四个档次：未提供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项目实施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方案</w:t>
            </w:r>
            <w:r>
              <w:rPr>
                <w:rFonts w:hint="eastAsia" w:ascii="华文楷体" w:hAnsi="华文楷体" w:eastAsia="华文楷体" w:cs="华文楷体"/>
                <w:szCs w:val="21"/>
              </w:rPr>
              <w:t>的不得分。</w:t>
            </w:r>
          </w:p>
        </w:tc>
      </w:tr>
      <w:tr w14:paraId="44B5AD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825" w:type="pct"/>
            <w:vAlign w:val="center"/>
          </w:tcPr>
          <w:p w14:paraId="57C526AD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eastAsia="zh-CN"/>
              </w:rPr>
              <w:t>类似项目业绩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评分</w:t>
            </w:r>
          </w:p>
        </w:tc>
        <w:tc>
          <w:tcPr>
            <w:tcW w:w="543" w:type="pct"/>
            <w:vAlign w:val="center"/>
          </w:tcPr>
          <w:p w14:paraId="212DA2BD">
            <w:pPr>
              <w:keepNext w:val="0"/>
              <w:keepLines w:val="0"/>
              <w:suppressLineNumbers w:val="0"/>
              <w:spacing w:before="81" w:beforeAutospacing="0" w:after="81" w:afterAutospacing="0"/>
              <w:ind w:left="0" w:leftChars="0" w:right="0" w:rightChars="0"/>
              <w:jc w:val="center"/>
              <w:rPr>
                <w:rFonts w:hint="eastAsia" w:ascii="华文楷体" w:hAnsi="华文楷体" w:eastAsia="华文楷体" w:cs="华文楷体"/>
                <w:szCs w:val="24"/>
              </w:rPr>
            </w:pP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2</w:t>
            </w:r>
            <w:r>
              <w:rPr>
                <w:rFonts w:hint="eastAsia" w:ascii="华文楷体" w:hAnsi="华文楷体" w:eastAsia="华文楷体" w:cs="华文楷体"/>
                <w:szCs w:val="24"/>
              </w:rPr>
              <w:t>0</w:t>
            </w:r>
            <w:r>
              <w:rPr>
                <w:rFonts w:hint="eastAsia" w:ascii="华文楷体" w:hAnsi="华文楷体" w:eastAsia="华文楷体" w:cs="华文楷体"/>
                <w:szCs w:val="24"/>
                <w:lang w:val="en-US" w:eastAsia="zh-CN"/>
              </w:rPr>
              <w:t>分</w:t>
            </w:r>
          </w:p>
        </w:tc>
        <w:tc>
          <w:tcPr>
            <w:tcW w:w="3631" w:type="pct"/>
            <w:vAlign w:val="center"/>
          </w:tcPr>
          <w:p w14:paraId="663955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华文楷体" w:hAnsi="华文楷体" w:eastAsia="华文楷体" w:cs="华文楷体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szCs w:val="21"/>
                <w:lang w:val="en-US" w:eastAsia="zh-CN"/>
              </w:rPr>
              <w:t>提供近3年本公司（2021年10月至今）类似项目业绩证明材料（以服务合同为准），服务合同中的业主名称、金额、服务期限等关键信息不得涂盖（有效业绩范围为：输液瓶袋回收处置）。每提供1个有效业绩得2分，满分20分。</w:t>
            </w:r>
          </w:p>
          <w:p w14:paraId="3F92ED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eastAsia" w:ascii="华文楷体" w:hAnsi="华文楷体" w:eastAsia="华文楷体" w:cs="华文楷体"/>
                <w:szCs w:val="21"/>
              </w:rPr>
            </w:pPr>
          </w:p>
        </w:tc>
      </w:tr>
    </w:tbl>
    <w:p w14:paraId="51E6E5B6">
      <w:pPr>
        <w:pStyle w:val="11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7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85142B"/>
    <w:rsid w:val="03ED346D"/>
    <w:rsid w:val="042E42B8"/>
    <w:rsid w:val="04B62533"/>
    <w:rsid w:val="05B97511"/>
    <w:rsid w:val="07445592"/>
    <w:rsid w:val="08B03E69"/>
    <w:rsid w:val="09725FF9"/>
    <w:rsid w:val="0AEA18AB"/>
    <w:rsid w:val="0B8E3FFD"/>
    <w:rsid w:val="0BA17532"/>
    <w:rsid w:val="0BDC4F6E"/>
    <w:rsid w:val="11576F7C"/>
    <w:rsid w:val="1771005C"/>
    <w:rsid w:val="17AE1A29"/>
    <w:rsid w:val="18036ACD"/>
    <w:rsid w:val="19C534ED"/>
    <w:rsid w:val="1A306A02"/>
    <w:rsid w:val="1A385198"/>
    <w:rsid w:val="20B4681E"/>
    <w:rsid w:val="21D27278"/>
    <w:rsid w:val="22590C76"/>
    <w:rsid w:val="236953D8"/>
    <w:rsid w:val="23C13183"/>
    <w:rsid w:val="26010C4D"/>
    <w:rsid w:val="267143DF"/>
    <w:rsid w:val="279D069F"/>
    <w:rsid w:val="2C5518F5"/>
    <w:rsid w:val="310C4884"/>
    <w:rsid w:val="368E4C2A"/>
    <w:rsid w:val="369D33CF"/>
    <w:rsid w:val="383E384F"/>
    <w:rsid w:val="388042A0"/>
    <w:rsid w:val="3943642A"/>
    <w:rsid w:val="3A8D2B96"/>
    <w:rsid w:val="3D946B9A"/>
    <w:rsid w:val="41641CA7"/>
    <w:rsid w:val="41BE5E0E"/>
    <w:rsid w:val="44775D6C"/>
    <w:rsid w:val="44A75419"/>
    <w:rsid w:val="451E098A"/>
    <w:rsid w:val="45C87CCF"/>
    <w:rsid w:val="47846D32"/>
    <w:rsid w:val="486D73A7"/>
    <w:rsid w:val="4B86222C"/>
    <w:rsid w:val="4D1E3BF5"/>
    <w:rsid w:val="4F674123"/>
    <w:rsid w:val="4F94559A"/>
    <w:rsid w:val="5160707C"/>
    <w:rsid w:val="517D7C2E"/>
    <w:rsid w:val="55694DE8"/>
    <w:rsid w:val="56C86934"/>
    <w:rsid w:val="572B7BB5"/>
    <w:rsid w:val="58DF3AAB"/>
    <w:rsid w:val="596A0A97"/>
    <w:rsid w:val="596B4E03"/>
    <w:rsid w:val="59CC030D"/>
    <w:rsid w:val="5AD023FF"/>
    <w:rsid w:val="5DA63305"/>
    <w:rsid w:val="5DD166EA"/>
    <w:rsid w:val="5F9F0D42"/>
    <w:rsid w:val="649E3780"/>
    <w:rsid w:val="64C6798C"/>
    <w:rsid w:val="6ADC556D"/>
    <w:rsid w:val="6B64178A"/>
    <w:rsid w:val="6BA71E32"/>
    <w:rsid w:val="6E027099"/>
    <w:rsid w:val="6EDD3AFA"/>
    <w:rsid w:val="706563F8"/>
    <w:rsid w:val="71ED62B2"/>
    <w:rsid w:val="727F2737"/>
    <w:rsid w:val="73261A7B"/>
    <w:rsid w:val="756F3DFF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7">
    <w:name w:val="heading 2"/>
    <w:basedOn w:val="1"/>
    <w:next w:val="1"/>
    <w:qFormat/>
    <w:uiPriority w:val="0"/>
    <w:pPr>
      <w:keepNext/>
      <w:widowControl w:val="0"/>
      <w:numPr>
        <w:ilvl w:val="1"/>
        <w:numId w:val="1"/>
      </w:numPr>
      <w:adjustRightInd w:val="0"/>
      <w:spacing w:before="120" w:line="360" w:lineRule="auto"/>
      <w:jc w:val="both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  <w:lang w:val="zh-CN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autoSpaceDE/>
      <w:autoSpaceDN/>
      <w:adjustRightInd/>
      <w:ind w:left="0" w:leftChars="0" w:firstLine="420"/>
      <w:jc w:val="both"/>
      <w:textAlignment w:val="auto"/>
    </w:pPr>
    <w:rPr>
      <w:kern w:val="2"/>
      <w:sz w:val="21"/>
      <w:szCs w:val="24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1"/>
    <w:semiHidden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toc 3"/>
    <w:basedOn w:val="1"/>
    <w:next w:val="1"/>
    <w:qFormat/>
    <w:uiPriority w:val="39"/>
    <w:pPr>
      <w:autoSpaceDE w:val="0"/>
      <w:autoSpaceDN w:val="0"/>
      <w:adjustRightInd w:val="0"/>
      <w:ind w:left="840" w:leftChars="400"/>
      <w:jc w:val="left"/>
    </w:pPr>
    <w:rPr>
      <w:kern w:val="0"/>
      <w:sz w:val="24"/>
      <w:szCs w:val="20"/>
    </w:rPr>
  </w:style>
  <w:style w:type="paragraph" w:customStyle="1" w:styleId="10">
    <w:name w:val="标题 5（有编号）（绿盟科技）"/>
    <w:basedOn w:val="1"/>
    <w:next w:val="11"/>
    <w:autoRedefine/>
    <w:qFormat/>
    <w:uiPriority w:val="0"/>
    <w:pPr>
      <w:keepNext/>
      <w:keepLines/>
      <w:numPr>
        <w:ilvl w:val="4"/>
        <w:numId w:val="2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1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795</Words>
  <Characters>848</Characters>
  <Lines>0</Lines>
  <Paragraphs>0</Paragraphs>
  <TotalTime>5</TotalTime>
  <ScaleCrop>false</ScaleCrop>
  <LinksUpToDate>false</LinksUpToDate>
  <CharactersWithSpaces>864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2024-11-07T01:26:19Z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EF91788F010144B392240AFDDBF2DFA7_13</vt:lpwstr>
  </property>
</Properties>
</file>