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A6628E">
      <w:pPr>
        <w:pStyle w:val="7"/>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安宁市第一人民医院未被污染输液瓶袋回收处置合作单位遴选项目</w:t>
      </w:r>
    </w:p>
    <w:p w14:paraId="594BC8A6">
      <w:pPr>
        <w:pStyle w:val="7"/>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（2025-2027年）</w:t>
      </w:r>
    </w:p>
    <w:p w14:paraId="5109EAFA">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0" w:name="_Toc11021"/>
      <w:bookmarkStart w:id="1" w:name="_Toc9230"/>
      <w:bookmarkStart w:id="2" w:name="_Toc5508"/>
      <w:bookmarkStart w:id="3" w:name="_Toc20741"/>
      <w:bookmarkStart w:id="4" w:name="_Toc22156"/>
      <w:bookmarkStart w:id="5" w:name="_Toc17988"/>
      <w:bookmarkStart w:id="6" w:name="_Toc22227"/>
      <w:bookmarkStart w:id="7" w:name="_Toc12964"/>
      <w:bookmarkStart w:id="8" w:name="_Toc4883"/>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0"/>
      <w:bookmarkEnd w:id="1"/>
      <w:bookmarkEnd w:id="2"/>
      <w:bookmarkEnd w:id="3"/>
      <w:bookmarkEnd w:id="4"/>
      <w:bookmarkEnd w:id="5"/>
      <w:bookmarkEnd w:id="6"/>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1</w:t>
      </w:r>
      <w:bookmarkEnd w:id="7"/>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36</w:t>
      </w:r>
      <w:bookmarkEnd w:id="8"/>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523963CF">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9" w:name="_Toc16339"/>
      <w:bookmarkStart w:id="10" w:name="_Toc3978"/>
      <w:bookmarkStart w:id="11" w:name="_Toc30971"/>
      <w:bookmarkStart w:id="12" w:name="_Toc23534"/>
      <w:bookmarkStart w:id="13" w:name="_Toc17121"/>
      <w:bookmarkStart w:id="14" w:name="_Toc6444"/>
      <w:bookmarkStart w:id="15" w:name="_Toc1134"/>
      <w:bookmarkStart w:id="16" w:name="_Toc7654"/>
      <w:bookmarkStart w:id="17" w:name="_Toc18026"/>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9"/>
      <w:bookmarkEnd w:id="10"/>
      <w:bookmarkEnd w:id="11"/>
      <w:bookmarkEnd w:id="12"/>
      <w:bookmarkEnd w:id="13"/>
      <w:bookmarkEnd w:id="14"/>
      <w:bookmarkEnd w:id="15"/>
      <w:bookmarkEnd w:id="16"/>
      <w:bookmarkEnd w:id="17"/>
    </w:p>
    <w:p w14:paraId="6E884536">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18" w:name="_Toc14917"/>
      <w:bookmarkEnd w:id="18"/>
      <w:bookmarkStart w:id="19" w:name="_Toc184"/>
      <w:bookmarkEnd w:id="19"/>
    </w:p>
    <w:p w14:paraId="4A3D2FEA">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14:paraId="644A3242">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ascii="宋体" w:hAnsi="宋体" w:eastAsia="宋体" w:cstheme="minorBidi"/>
          <w:kern w:val="2"/>
          <w:sz w:val="21"/>
          <w:szCs w:val="24"/>
          <w:lang w:val="en-US" w:eastAsia="zh-CN" w:bidi="ar-SA"/>
        </w:rPr>
        <w:id w:val="147474867"/>
        <w15:color w:val="DBDBDB"/>
        <w:docPartObj>
          <w:docPartGallery w:val="Table of Contents"/>
          <w:docPartUnique/>
        </w:docPartObj>
      </w:sdtPr>
      <w:sdtEndPr>
        <w:rPr>
          <w:rFonts w:ascii="宋体" w:hAnsi="宋体" w:eastAsia="宋体" w:cstheme="minorBidi"/>
          <w:kern w:val="2"/>
          <w:sz w:val="21"/>
          <w:szCs w:val="24"/>
          <w:lang w:val="en-US" w:eastAsia="zh-CN" w:bidi="ar-SA"/>
        </w:rPr>
      </w:sdtEndPr>
      <w:sdtContent>
        <w:p w14:paraId="5037231A">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bookmarkStart w:id="20" w:name="_Toc16454"/>
          <w:bookmarkStart w:id="73" w:name="_GoBack"/>
          <w:bookmarkEnd w:id="73"/>
        </w:p>
        <w:p w14:paraId="0FEFCE2E">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7ACC2F39">
          <w:pPr>
            <w:spacing w:before="0" w:beforeLines="0" w:after="0" w:afterLines="0" w:line="240" w:lineRule="auto"/>
            <w:ind w:left="0" w:leftChars="0" w:right="0" w:rightChars="0" w:firstLine="0" w:firstLineChars="0"/>
            <w:jc w:val="center"/>
          </w:pPr>
          <w:r>
            <w:rPr>
              <w:rFonts w:ascii="宋体" w:hAnsi="宋体" w:eastAsia="宋体"/>
              <w:sz w:val="21"/>
            </w:rPr>
            <w:t>目录</w:t>
          </w:r>
        </w:p>
        <w:p w14:paraId="37EBC552">
          <w:pPr>
            <w:pStyle w:val="17"/>
            <w:tabs>
              <w:tab w:val="right" w:leader="dot" w:pos="8306"/>
            </w:tabs>
          </w:pPr>
          <w:r>
            <w:fldChar w:fldCharType="begin"/>
          </w:r>
          <w:r>
            <w:instrText xml:space="preserve">TOC \o "1-1" \h \u </w:instrText>
          </w:r>
          <w:r>
            <w:fldChar w:fldCharType="separate"/>
          </w:r>
          <w:r>
            <w:fldChar w:fldCharType="begin"/>
          </w:r>
          <w:r>
            <w:instrText xml:space="preserve"> HYPERLINK \l _Toc4883 </w:instrText>
          </w:r>
          <w: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2024N136</w:t>
          </w:r>
          <w:r>
            <w:tab/>
          </w:r>
          <w:r>
            <w:fldChar w:fldCharType="begin"/>
          </w:r>
          <w:r>
            <w:instrText xml:space="preserve"> PAGEREF _Toc4883 \h </w:instrText>
          </w:r>
          <w:r>
            <w:fldChar w:fldCharType="separate"/>
          </w:r>
          <w:r>
            <w:t>1</w:t>
          </w:r>
          <w:r>
            <w:fldChar w:fldCharType="end"/>
          </w:r>
          <w:r>
            <w:fldChar w:fldCharType="end"/>
          </w:r>
        </w:p>
        <w:p w14:paraId="48CC8F3F">
          <w:pPr>
            <w:pStyle w:val="17"/>
            <w:tabs>
              <w:tab w:val="right" w:leader="dot" w:pos="8306"/>
            </w:tabs>
          </w:pPr>
          <w:r>
            <w:fldChar w:fldCharType="begin"/>
          </w:r>
          <w:r>
            <w:instrText xml:space="preserve"> HYPERLINK \l _Toc18026 </w:instrText>
          </w:r>
          <w: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_Toc18026 \h </w:instrText>
          </w:r>
          <w:r>
            <w:fldChar w:fldCharType="separate"/>
          </w:r>
          <w:r>
            <w:t>1</w:t>
          </w:r>
          <w:r>
            <w:fldChar w:fldCharType="end"/>
          </w:r>
          <w:r>
            <w:fldChar w:fldCharType="end"/>
          </w:r>
        </w:p>
        <w:p w14:paraId="35A26907">
          <w:pPr>
            <w:pStyle w:val="17"/>
            <w:tabs>
              <w:tab w:val="right" w:leader="dot" w:pos="8306"/>
            </w:tabs>
          </w:pPr>
          <w:r>
            <w:fldChar w:fldCharType="begin"/>
          </w:r>
          <w:r>
            <w:instrText xml:space="preserve"> HYPERLINK \l _Toc13645 </w:instrText>
          </w:r>
          <w:r>
            <w:fldChar w:fldCharType="separate"/>
          </w:r>
          <w:r>
            <w:rPr>
              <w:rFonts w:hint="eastAsia" w:ascii="华文楷体" w:hAnsi="华文楷体" w:eastAsia="华文楷体" w:cs="华文楷体"/>
              <w:kern w:val="0"/>
              <w:szCs w:val="32"/>
              <w:lang w:val="zh-CN" w:eastAsia="zh-CN" w:bidi="ar-SA"/>
            </w:rPr>
            <w:t>二、响应人信息表</w:t>
          </w:r>
          <w:r>
            <w:tab/>
          </w:r>
          <w:r>
            <w:fldChar w:fldCharType="begin"/>
          </w:r>
          <w:r>
            <w:instrText xml:space="preserve"> PAGEREF _Toc13645 \h </w:instrText>
          </w:r>
          <w:r>
            <w:fldChar w:fldCharType="separate"/>
          </w:r>
          <w:r>
            <w:t>5</w:t>
          </w:r>
          <w:r>
            <w:fldChar w:fldCharType="end"/>
          </w:r>
          <w:r>
            <w:fldChar w:fldCharType="end"/>
          </w:r>
        </w:p>
        <w:p w14:paraId="42ED4916">
          <w:pPr>
            <w:pStyle w:val="17"/>
            <w:tabs>
              <w:tab w:val="right" w:leader="dot" w:pos="8306"/>
            </w:tabs>
          </w:pPr>
          <w:r>
            <w:fldChar w:fldCharType="begin"/>
          </w:r>
          <w:r>
            <w:instrText xml:space="preserve"> HYPERLINK \l _Toc22111 </w:instrText>
          </w:r>
          <w:r>
            <w:fldChar w:fldCharType="separate"/>
          </w:r>
          <w:r>
            <w:rPr>
              <w:rFonts w:hint="eastAsia" w:ascii="华文楷体" w:hAnsi="华文楷体" w:eastAsia="华文楷体" w:cs="华文楷体"/>
              <w:szCs w:val="32"/>
              <w:lang w:val="en-US" w:eastAsia="zh-CN"/>
            </w:rPr>
            <w:t>三、法定代表人(负责人)身份证明书</w:t>
          </w:r>
          <w:r>
            <w:tab/>
          </w:r>
          <w:r>
            <w:fldChar w:fldCharType="begin"/>
          </w:r>
          <w:r>
            <w:instrText xml:space="preserve"> PAGEREF _Toc22111 \h </w:instrText>
          </w:r>
          <w:r>
            <w:fldChar w:fldCharType="separate"/>
          </w:r>
          <w:r>
            <w:t>6</w:t>
          </w:r>
          <w:r>
            <w:fldChar w:fldCharType="end"/>
          </w:r>
          <w:r>
            <w:fldChar w:fldCharType="end"/>
          </w:r>
        </w:p>
        <w:p w14:paraId="01386688">
          <w:pPr>
            <w:pStyle w:val="17"/>
            <w:tabs>
              <w:tab w:val="right" w:leader="dot" w:pos="8306"/>
            </w:tabs>
          </w:pPr>
          <w:r>
            <w:fldChar w:fldCharType="begin"/>
          </w:r>
          <w:r>
            <w:instrText xml:space="preserve"> HYPERLINK \l _Toc20650 </w:instrText>
          </w:r>
          <w:r>
            <w:fldChar w:fldCharType="separate"/>
          </w:r>
          <w:r>
            <w:rPr>
              <w:rFonts w:hint="eastAsia" w:ascii="华文楷体" w:hAnsi="华文楷体" w:eastAsia="华文楷体" w:cs="华文楷体"/>
              <w:kern w:val="0"/>
              <w:szCs w:val="32"/>
              <w:lang w:val="en-US" w:eastAsia="zh-CN" w:bidi="ar-SA"/>
            </w:rPr>
            <w:t>四、法定代表人（负责人）授权委托书</w:t>
          </w:r>
          <w:r>
            <w:tab/>
          </w:r>
          <w:r>
            <w:fldChar w:fldCharType="begin"/>
          </w:r>
          <w:r>
            <w:instrText xml:space="preserve"> PAGEREF _Toc20650 \h </w:instrText>
          </w:r>
          <w:r>
            <w:fldChar w:fldCharType="separate"/>
          </w:r>
          <w:r>
            <w:t>7</w:t>
          </w:r>
          <w:r>
            <w:fldChar w:fldCharType="end"/>
          </w:r>
          <w:r>
            <w:fldChar w:fldCharType="end"/>
          </w:r>
        </w:p>
        <w:p w14:paraId="07EAF49C">
          <w:pPr>
            <w:pStyle w:val="17"/>
            <w:tabs>
              <w:tab w:val="right" w:leader="dot" w:pos="8306"/>
            </w:tabs>
          </w:pPr>
          <w:r>
            <w:fldChar w:fldCharType="begin"/>
          </w:r>
          <w:r>
            <w:instrText xml:space="preserve"> HYPERLINK \l _Toc5428 </w:instrText>
          </w:r>
          <w:r>
            <w:fldChar w:fldCharType="separate"/>
          </w:r>
          <w:r>
            <w:rPr>
              <w:rFonts w:hint="eastAsia" w:ascii="华文楷体" w:hAnsi="华文楷体" w:eastAsia="华文楷体" w:cs="华文楷体"/>
              <w:kern w:val="0"/>
              <w:szCs w:val="32"/>
              <w:lang w:val="en-US" w:eastAsia="zh-CN" w:bidi="ar-SA"/>
            </w:rPr>
            <w:t>五、委托代理人社保缴纳证明</w:t>
          </w:r>
          <w:r>
            <w:tab/>
          </w:r>
          <w:r>
            <w:fldChar w:fldCharType="begin"/>
          </w:r>
          <w:r>
            <w:instrText xml:space="preserve"> PAGEREF _Toc5428 \h </w:instrText>
          </w:r>
          <w:r>
            <w:fldChar w:fldCharType="separate"/>
          </w:r>
          <w:r>
            <w:t>8</w:t>
          </w:r>
          <w:r>
            <w:fldChar w:fldCharType="end"/>
          </w:r>
          <w:r>
            <w:fldChar w:fldCharType="end"/>
          </w:r>
        </w:p>
        <w:p w14:paraId="30E29900">
          <w:pPr>
            <w:pStyle w:val="17"/>
            <w:tabs>
              <w:tab w:val="right" w:leader="dot" w:pos="8306"/>
            </w:tabs>
          </w:pPr>
          <w:r>
            <w:fldChar w:fldCharType="begin"/>
          </w:r>
          <w:r>
            <w:instrText xml:space="preserve"> HYPERLINK \l _Toc2441 </w:instrText>
          </w:r>
          <w:r>
            <w:fldChar w:fldCharType="separate"/>
          </w:r>
          <w:r>
            <w:rPr>
              <w:rFonts w:hint="eastAsia" w:ascii="华文楷体" w:hAnsi="华文楷体" w:eastAsia="华文楷体" w:cs="华文楷体"/>
              <w:kern w:val="0"/>
              <w:szCs w:val="32"/>
              <w:lang w:val="en-US" w:eastAsia="zh-CN" w:bidi="ar-SA"/>
            </w:rPr>
            <w:t>六、响应人资格文件</w:t>
          </w:r>
          <w:r>
            <w:tab/>
          </w:r>
          <w:r>
            <w:fldChar w:fldCharType="begin"/>
          </w:r>
          <w:r>
            <w:instrText xml:space="preserve"> PAGEREF _Toc2441 \h </w:instrText>
          </w:r>
          <w:r>
            <w:fldChar w:fldCharType="separate"/>
          </w:r>
          <w:r>
            <w:t>9</w:t>
          </w:r>
          <w:r>
            <w:fldChar w:fldCharType="end"/>
          </w:r>
          <w:r>
            <w:fldChar w:fldCharType="end"/>
          </w:r>
        </w:p>
        <w:p w14:paraId="754FDFB9">
          <w:pPr>
            <w:pStyle w:val="17"/>
            <w:tabs>
              <w:tab w:val="right" w:leader="dot" w:pos="8306"/>
            </w:tabs>
          </w:pPr>
          <w:r>
            <w:fldChar w:fldCharType="begin"/>
          </w:r>
          <w:r>
            <w:instrText xml:space="preserve"> HYPERLINK \l _Toc4637 </w:instrText>
          </w:r>
          <w:r>
            <w:fldChar w:fldCharType="separate"/>
          </w:r>
          <w:r>
            <w:rPr>
              <w:rFonts w:hint="eastAsia" w:ascii="华文楷体" w:hAnsi="华文楷体" w:eastAsia="华文楷体" w:cs="华文楷体"/>
              <w:kern w:val="0"/>
              <w:szCs w:val="32"/>
              <w:lang w:val="en-US" w:eastAsia="zh-CN" w:bidi="ar-SA"/>
            </w:rPr>
            <w:t>七、项目人员配备方案</w:t>
          </w:r>
          <w:r>
            <w:tab/>
          </w:r>
          <w:r>
            <w:fldChar w:fldCharType="begin"/>
          </w:r>
          <w:r>
            <w:instrText xml:space="preserve"> PAGEREF _Toc4637 \h </w:instrText>
          </w:r>
          <w:r>
            <w:fldChar w:fldCharType="separate"/>
          </w:r>
          <w:r>
            <w:t>10</w:t>
          </w:r>
          <w:r>
            <w:fldChar w:fldCharType="end"/>
          </w:r>
          <w:r>
            <w:fldChar w:fldCharType="end"/>
          </w:r>
        </w:p>
        <w:p w14:paraId="3875CC72">
          <w:pPr>
            <w:pStyle w:val="17"/>
            <w:tabs>
              <w:tab w:val="right" w:leader="dot" w:pos="8306"/>
            </w:tabs>
          </w:pPr>
          <w:r>
            <w:fldChar w:fldCharType="begin"/>
          </w:r>
          <w:r>
            <w:instrText xml:space="preserve"> HYPERLINK \l _Toc1365 </w:instrText>
          </w:r>
          <w:r>
            <w:fldChar w:fldCharType="separate"/>
          </w:r>
          <w:r>
            <w:rPr>
              <w:rFonts w:hint="eastAsia" w:ascii="华文楷体" w:hAnsi="华文楷体" w:eastAsia="华文楷体" w:cs="华文楷体"/>
              <w:kern w:val="0"/>
              <w:szCs w:val="21"/>
              <w:lang w:val="en-US" w:eastAsia="zh-CN" w:bidi="ar-SA"/>
            </w:rPr>
            <w:t>（格式自拟）</w:t>
          </w:r>
          <w:r>
            <w:tab/>
          </w:r>
          <w:r>
            <w:fldChar w:fldCharType="begin"/>
          </w:r>
          <w:r>
            <w:instrText xml:space="preserve"> PAGEREF _Toc1365 \h </w:instrText>
          </w:r>
          <w:r>
            <w:fldChar w:fldCharType="separate"/>
          </w:r>
          <w:r>
            <w:t>10</w:t>
          </w:r>
          <w:r>
            <w:fldChar w:fldCharType="end"/>
          </w:r>
          <w:r>
            <w:fldChar w:fldCharType="end"/>
          </w:r>
        </w:p>
        <w:p w14:paraId="48CD8983">
          <w:pPr>
            <w:pStyle w:val="17"/>
            <w:tabs>
              <w:tab w:val="right" w:leader="dot" w:pos="8306"/>
            </w:tabs>
          </w:pPr>
          <w:r>
            <w:fldChar w:fldCharType="begin"/>
          </w:r>
          <w:r>
            <w:instrText xml:space="preserve"> HYPERLINK \l _Toc3007 </w:instrText>
          </w:r>
          <w:r>
            <w:fldChar w:fldCharType="separate"/>
          </w:r>
          <w:r>
            <w:rPr>
              <w:rFonts w:hint="eastAsia" w:ascii="华文楷体" w:hAnsi="华文楷体" w:eastAsia="华文楷体" w:cs="华文楷体"/>
              <w:kern w:val="0"/>
              <w:szCs w:val="32"/>
              <w:lang w:val="en-US" w:eastAsia="zh-CN" w:bidi="ar-SA"/>
            </w:rPr>
            <w:t>八、服务质量承诺及保证措施</w:t>
          </w:r>
          <w:r>
            <w:tab/>
          </w:r>
          <w:r>
            <w:fldChar w:fldCharType="begin"/>
          </w:r>
          <w:r>
            <w:instrText xml:space="preserve"> PAGEREF _Toc3007 \h </w:instrText>
          </w:r>
          <w:r>
            <w:fldChar w:fldCharType="separate"/>
          </w:r>
          <w:r>
            <w:t>11</w:t>
          </w:r>
          <w:r>
            <w:fldChar w:fldCharType="end"/>
          </w:r>
          <w:r>
            <w:fldChar w:fldCharType="end"/>
          </w:r>
        </w:p>
        <w:p w14:paraId="55C608FC">
          <w:pPr>
            <w:pStyle w:val="17"/>
            <w:tabs>
              <w:tab w:val="right" w:leader="dot" w:pos="8306"/>
            </w:tabs>
          </w:pPr>
          <w:r>
            <w:fldChar w:fldCharType="begin"/>
          </w:r>
          <w:r>
            <w:instrText xml:space="preserve"> HYPERLINK \l _Toc895 </w:instrText>
          </w:r>
          <w:r>
            <w:fldChar w:fldCharType="separate"/>
          </w:r>
          <w:r>
            <w:rPr>
              <w:rFonts w:hint="eastAsia" w:ascii="华文楷体" w:hAnsi="华文楷体" w:eastAsia="华文楷体" w:cs="华文楷体"/>
              <w:kern w:val="0"/>
              <w:szCs w:val="21"/>
              <w:lang w:val="en-US" w:eastAsia="zh-CN" w:bidi="ar-SA"/>
            </w:rPr>
            <w:t>（格式自拟）</w:t>
          </w:r>
          <w:r>
            <w:tab/>
          </w:r>
          <w:r>
            <w:fldChar w:fldCharType="begin"/>
          </w:r>
          <w:r>
            <w:instrText xml:space="preserve"> PAGEREF _Toc895 \h </w:instrText>
          </w:r>
          <w:r>
            <w:fldChar w:fldCharType="separate"/>
          </w:r>
          <w:r>
            <w:t>11</w:t>
          </w:r>
          <w:r>
            <w:fldChar w:fldCharType="end"/>
          </w:r>
          <w:r>
            <w:fldChar w:fldCharType="end"/>
          </w:r>
        </w:p>
        <w:p w14:paraId="0970EECE">
          <w:pPr>
            <w:pStyle w:val="17"/>
            <w:tabs>
              <w:tab w:val="right" w:leader="dot" w:pos="8306"/>
            </w:tabs>
          </w:pPr>
          <w:r>
            <w:fldChar w:fldCharType="begin"/>
          </w:r>
          <w:r>
            <w:instrText xml:space="preserve"> HYPERLINK \l _Toc14776 </w:instrText>
          </w:r>
          <w:r>
            <w:fldChar w:fldCharType="separate"/>
          </w:r>
          <w:r>
            <w:rPr>
              <w:rFonts w:hint="eastAsia" w:ascii="华文楷体" w:hAnsi="华文楷体" w:eastAsia="华文楷体" w:cs="华文楷体"/>
              <w:kern w:val="0"/>
              <w:szCs w:val="21"/>
              <w:lang w:val="en-US" w:eastAsia="zh-CN" w:bidi="ar-SA"/>
            </w:rPr>
            <w:t>（格式自拟）</w:t>
          </w:r>
          <w:r>
            <w:tab/>
          </w:r>
          <w:r>
            <w:fldChar w:fldCharType="begin"/>
          </w:r>
          <w:r>
            <w:instrText xml:space="preserve"> PAGEREF _Toc14776 \h </w:instrText>
          </w:r>
          <w:r>
            <w:fldChar w:fldCharType="separate"/>
          </w:r>
          <w:r>
            <w:t>12</w:t>
          </w:r>
          <w:r>
            <w:fldChar w:fldCharType="end"/>
          </w:r>
          <w:r>
            <w:fldChar w:fldCharType="end"/>
          </w:r>
        </w:p>
        <w:p w14:paraId="0AA20084">
          <w:pPr>
            <w:pStyle w:val="17"/>
            <w:tabs>
              <w:tab w:val="right" w:leader="dot" w:pos="8306"/>
            </w:tabs>
          </w:pPr>
          <w:r>
            <w:fldChar w:fldCharType="begin"/>
          </w:r>
          <w:r>
            <w:instrText xml:space="preserve"> HYPERLINK \l _Toc17234 </w:instrText>
          </w:r>
          <w:r>
            <w:fldChar w:fldCharType="separate"/>
          </w:r>
          <w:r>
            <w:rPr>
              <w:rFonts w:hint="eastAsia" w:ascii="华文楷体" w:hAnsi="华文楷体" w:eastAsia="华文楷体" w:cs="华文楷体"/>
              <w:kern w:val="0"/>
              <w:szCs w:val="32"/>
              <w:lang w:val="en-US" w:eastAsia="zh-CN" w:bidi="ar-SA"/>
            </w:rPr>
            <w:t>十、近三年类似项目业绩</w:t>
          </w:r>
          <w:r>
            <w:tab/>
          </w:r>
          <w:r>
            <w:fldChar w:fldCharType="begin"/>
          </w:r>
          <w:r>
            <w:instrText xml:space="preserve"> PAGEREF _Toc17234 \h </w:instrText>
          </w:r>
          <w:r>
            <w:fldChar w:fldCharType="separate"/>
          </w:r>
          <w:r>
            <w:t>13</w:t>
          </w:r>
          <w:r>
            <w:fldChar w:fldCharType="end"/>
          </w:r>
          <w:r>
            <w:fldChar w:fldCharType="end"/>
          </w:r>
        </w:p>
        <w:p w14:paraId="44E22AE9">
          <w:pPr>
            <w:pStyle w:val="17"/>
            <w:tabs>
              <w:tab w:val="right" w:leader="dot" w:pos="8306"/>
            </w:tabs>
          </w:pPr>
          <w:r>
            <w:fldChar w:fldCharType="begin"/>
          </w:r>
          <w:r>
            <w:instrText xml:space="preserve"> HYPERLINK \l _Toc21415 </w:instrText>
          </w:r>
          <w:r>
            <w:fldChar w:fldCharType="separate"/>
          </w:r>
          <w:r>
            <w:rPr>
              <w:rFonts w:hint="eastAsia" w:ascii="华文楷体" w:hAnsi="华文楷体" w:eastAsia="华文楷体" w:cs="华文楷体"/>
              <w:kern w:val="0"/>
              <w:szCs w:val="32"/>
              <w:lang w:val="en-US" w:eastAsia="zh-CN" w:bidi="ar-SA"/>
            </w:rPr>
            <w:t>十一、响应人认为有必要提供的其他文件</w:t>
          </w:r>
          <w:r>
            <w:tab/>
          </w:r>
          <w:r>
            <w:fldChar w:fldCharType="begin"/>
          </w:r>
          <w:r>
            <w:instrText xml:space="preserve"> PAGEREF _Toc21415 \h </w:instrText>
          </w:r>
          <w:r>
            <w:fldChar w:fldCharType="separate"/>
          </w:r>
          <w:r>
            <w:t>14</w:t>
          </w:r>
          <w:r>
            <w:fldChar w:fldCharType="end"/>
          </w:r>
          <w:r>
            <w:fldChar w:fldCharType="end"/>
          </w:r>
        </w:p>
        <w:p w14:paraId="649ABD59">
          <w:pPr>
            <w:pStyle w:val="17"/>
            <w:tabs>
              <w:tab w:val="right" w:leader="dot" w:pos="8306"/>
            </w:tabs>
          </w:pPr>
          <w:r>
            <w:fldChar w:fldCharType="begin"/>
          </w:r>
          <w:r>
            <w:instrText xml:space="preserve"> HYPERLINK \l _Toc17769 </w:instrText>
          </w:r>
          <w:r>
            <w:fldChar w:fldCharType="separate"/>
          </w:r>
          <w:r>
            <w:rPr>
              <w:rFonts w:hint="eastAsia" w:ascii="华文楷体" w:hAnsi="华文楷体" w:eastAsia="华文楷体" w:cs="华文楷体"/>
              <w:kern w:val="0"/>
              <w:szCs w:val="32"/>
              <w:lang w:val="en-US" w:eastAsia="zh-CN" w:bidi="ar-SA"/>
            </w:rPr>
            <w:t>十二、不参与围标串标承诺书</w:t>
          </w:r>
          <w:r>
            <w:tab/>
          </w:r>
          <w:r>
            <w:fldChar w:fldCharType="begin"/>
          </w:r>
          <w:r>
            <w:instrText xml:space="preserve"> PAGEREF _Toc17769 \h </w:instrText>
          </w:r>
          <w:r>
            <w:fldChar w:fldCharType="separate"/>
          </w:r>
          <w:r>
            <w:t>15</w:t>
          </w:r>
          <w:r>
            <w:fldChar w:fldCharType="end"/>
          </w:r>
          <w:r>
            <w:fldChar w:fldCharType="end"/>
          </w:r>
        </w:p>
        <w:p w14:paraId="0CA338B6">
          <w:pPr>
            <w:pStyle w:val="17"/>
            <w:tabs>
              <w:tab w:val="right" w:leader="dot" w:pos="8306"/>
            </w:tabs>
          </w:pPr>
          <w:r>
            <w:fldChar w:fldCharType="begin"/>
          </w:r>
          <w:r>
            <w:instrText xml:space="preserve"> HYPERLINK \l _Toc18766 </w:instrText>
          </w:r>
          <w:r>
            <w:fldChar w:fldCharType="separate"/>
          </w:r>
          <w:r>
            <w:rPr>
              <w:rFonts w:hint="eastAsia" w:ascii="华文楷体" w:hAnsi="华文楷体" w:eastAsia="华文楷体" w:cs="华文楷体"/>
              <w:szCs w:val="21"/>
              <w:highlight w:val="none"/>
            </w:rPr>
            <w:t>二、我单位在本项目招标投标活动中，未参与围标串标。</w:t>
          </w:r>
          <w:r>
            <w:tab/>
          </w:r>
          <w:r>
            <w:fldChar w:fldCharType="begin"/>
          </w:r>
          <w:r>
            <w:instrText xml:space="preserve"> PAGEREF _Toc18766 \h </w:instrText>
          </w:r>
          <w:r>
            <w:fldChar w:fldCharType="separate"/>
          </w:r>
          <w:r>
            <w:t>15</w:t>
          </w:r>
          <w:r>
            <w:fldChar w:fldCharType="end"/>
          </w:r>
          <w:r>
            <w:fldChar w:fldCharType="end"/>
          </w:r>
        </w:p>
        <w:p w14:paraId="4C8884BD">
          <w:pPr>
            <w:pStyle w:val="17"/>
            <w:tabs>
              <w:tab w:val="right" w:leader="dot" w:pos="8306"/>
            </w:tabs>
          </w:pPr>
          <w:r>
            <w:fldChar w:fldCharType="begin"/>
          </w:r>
          <w:r>
            <w:instrText xml:space="preserve"> HYPERLINK \l _Toc11726 </w:instrText>
          </w:r>
          <w:r>
            <w:fldChar w:fldCharType="separate"/>
          </w:r>
          <w:r>
            <w:rPr>
              <w:rFonts w:hint="eastAsia" w:ascii="华文楷体" w:hAnsi="华文楷体" w:eastAsia="华文楷体" w:cs="华文楷体"/>
              <w:szCs w:val="21"/>
              <w:highlight w:val="none"/>
              <w:lang w:val="en-US" w:eastAsia="zh-CN"/>
            </w:rPr>
            <w:t>四、处理方式：</w:t>
          </w:r>
          <w:r>
            <w:tab/>
          </w:r>
          <w:r>
            <w:fldChar w:fldCharType="begin"/>
          </w:r>
          <w:r>
            <w:instrText xml:space="preserve"> PAGEREF _Toc11726 \h </w:instrText>
          </w:r>
          <w:r>
            <w:fldChar w:fldCharType="separate"/>
          </w:r>
          <w:r>
            <w:t>15</w:t>
          </w:r>
          <w:r>
            <w:fldChar w:fldCharType="end"/>
          </w:r>
          <w:r>
            <w:fldChar w:fldCharType="end"/>
          </w:r>
        </w:p>
        <w:p w14:paraId="2968C927">
          <w:pPr>
            <w:pStyle w:val="17"/>
            <w:tabs>
              <w:tab w:val="right" w:leader="dot" w:pos="8306"/>
            </w:tabs>
          </w:pPr>
          <w:r>
            <w:fldChar w:fldCharType="begin"/>
          </w:r>
          <w:r>
            <w:instrText xml:space="preserve"> HYPERLINK \l _Toc31923 </w:instrText>
          </w:r>
          <w:r>
            <w:fldChar w:fldCharType="separate"/>
          </w:r>
          <w:r>
            <w:rPr>
              <w:rFonts w:hint="eastAsia" w:ascii="华文楷体" w:hAnsi="华文楷体" w:eastAsia="华文楷体" w:cs="华文楷体"/>
              <w:kern w:val="0"/>
              <w:szCs w:val="32"/>
              <w:lang w:val="en-US" w:eastAsia="zh-CN" w:bidi="ar-SA"/>
            </w:rPr>
            <w:t>十三、合规及廉洁自律承诺书</w:t>
          </w:r>
          <w:r>
            <w:tab/>
          </w:r>
          <w:r>
            <w:fldChar w:fldCharType="begin"/>
          </w:r>
          <w:r>
            <w:instrText xml:space="preserve"> PAGEREF _Toc31923 \h </w:instrText>
          </w:r>
          <w:r>
            <w:fldChar w:fldCharType="separate"/>
          </w:r>
          <w:r>
            <w:t>16</w:t>
          </w:r>
          <w:r>
            <w:fldChar w:fldCharType="end"/>
          </w:r>
          <w:r>
            <w:fldChar w:fldCharType="end"/>
          </w:r>
        </w:p>
        <w:p w14:paraId="7DEEE6B4">
          <w:pPr>
            <w:pStyle w:val="17"/>
            <w:tabs>
              <w:tab w:val="right" w:leader="dot" w:pos="8306"/>
            </w:tabs>
          </w:pPr>
          <w:r>
            <w:fldChar w:fldCharType="begin"/>
          </w:r>
          <w:r>
            <w:instrText xml:space="preserve"> HYPERLINK \l _Toc29702 </w:instrText>
          </w:r>
          <w:r>
            <w:fldChar w:fldCharType="separate"/>
          </w:r>
          <w:r>
            <w:rPr>
              <w:rFonts w:hint="eastAsia" w:ascii="华文楷体" w:hAnsi="华文楷体" w:eastAsia="华文楷体" w:cs="华文楷体"/>
              <w:szCs w:val="21"/>
              <w:highlight w:val="none"/>
              <w:lang w:val="en-US" w:eastAsia="zh-CN"/>
            </w:rPr>
            <w:t>一</w:t>
          </w:r>
          <w:r>
            <w:rPr>
              <w:rFonts w:hint="eastAsia" w:ascii="华文楷体" w:hAnsi="华文楷体" w:eastAsia="华文楷体" w:cs="华文楷体"/>
              <w:szCs w:val="21"/>
              <w:highlight w:val="none"/>
            </w:rPr>
            <w:t>、我方保证并要求我方人员及利益相关方做到：</w:t>
          </w:r>
          <w:r>
            <w:tab/>
          </w:r>
          <w:r>
            <w:fldChar w:fldCharType="begin"/>
          </w:r>
          <w:r>
            <w:instrText xml:space="preserve"> PAGEREF _Toc29702 \h </w:instrText>
          </w:r>
          <w:r>
            <w:fldChar w:fldCharType="separate"/>
          </w:r>
          <w:r>
            <w:t>16</w:t>
          </w:r>
          <w:r>
            <w:fldChar w:fldCharType="end"/>
          </w:r>
          <w:r>
            <w:fldChar w:fldCharType="end"/>
          </w:r>
        </w:p>
        <w:p w14:paraId="557B0544">
          <w:pPr>
            <w:pStyle w:val="17"/>
            <w:tabs>
              <w:tab w:val="right" w:leader="dot" w:pos="8306"/>
            </w:tabs>
          </w:pPr>
          <w:r>
            <w:fldChar w:fldCharType="begin"/>
          </w:r>
          <w:r>
            <w:instrText xml:space="preserve"> HYPERLINK \l _Toc5749 </w:instrText>
          </w:r>
          <w:r>
            <w:fldChar w:fldCharType="separate"/>
          </w:r>
          <w:r>
            <w:rPr>
              <w:rFonts w:hint="eastAsia" w:ascii="华文楷体" w:hAnsi="华文楷体" w:eastAsia="华文楷体" w:cs="华文楷体"/>
              <w:kern w:val="0"/>
              <w:szCs w:val="32"/>
              <w:lang w:val="en-US" w:eastAsia="zh-CN" w:bidi="ar-SA"/>
            </w:rPr>
            <w:t>十四、不存在禁止参与投保情形承诺书</w:t>
          </w:r>
          <w:r>
            <w:tab/>
          </w:r>
          <w:r>
            <w:fldChar w:fldCharType="begin"/>
          </w:r>
          <w:r>
            <w:instrText xml:space="preserve"> PAGEREF _Toc5749 \h </w:instrText>
          </w:r>
          <w:r>
            <w:fldChar w:fldCharType="separate"/>
          </w:r>
          <w:r>
            <w:t>17</w:t>
          </w:r>
          <w:r>
            <w:fldChar w:fldCharType="end"/>
          </w:r>
          <w:r>
            <w:fldChar w:fldCharType="end"/>
          </w:r>
        </w:p>
        <w:p w14:paraId="1B0B186A">
          <w:pPr>
            <w:sectPr>
              <w:footerReference r:id="rId3" w:type="default"/>
              <w:pgSz w:w="11906" w:h="16838"/>
              <w:pgMar w:top="1440" w:right="1800" w:bottom="1440" w:left="1800" w:header="851" w:footer="992" w:gutter="0"/>
              <w:pgNumType w:fmt="decimal"/>
              <w:cols w:space="425" w:num="1"/>
              <w:docGrid w:type="lines" w:linePitch="312" w:charSpace="0"/>
            </w:sectPr>
          </w:pPr>
          <w:r>
            <w:fldChar w:fldCharType="end"/>
          </w:r>
        </w:p>
      </w:sdtContent>
    </w:sdt>
    <w:bookmarkEnd w:id="20"/>
    <w:p w14:paraId="7B0449C9">
      <w:pPr>
        <w:spacing w:line="360" w:lineRule="auto"/>
        <w:rPr>
          <w:rFonts w:hint="eastAsia" w:ascii="华文楷体" w:hAnsi="华文楷体" w:eastAsia="华文楷体" w:cs="华文楷体"/>
          <w:color w:val="FF0000"/>
          <w:sz w:val="32"/>
          <w:szCs w:val="32"/>
          <w:lang w:val="en-US" w:eastAsia="zh-CN"/>
        </w:rPr>
      </w:pPr>
      <w:bookmarkStart w:id="21" w:name="_Toc493600031"/>
      <w:bookmarkStart w:id="22" w:name="_Toc18551"/>
      <w:r>
        <w:rPr>
          <w:rFonts w:hint="eastAsia" w:ascii="华文楷体" w:hAnsi="华文楷体" w:eastAsia="华文楷体" w:cs="华文楷体"/>
          <w:b w:val="0"/>
          <w:bCs/>
          <w:sz w:val="24"/>
          <w:szCs w:val="24"/>
        </w:rPr>
        <w:t xml:space="preserve"> </w:t>
      </w:r>
      <w:bookmarkEnd w:id="21"/>
      <w:bookmarkStart w:id="23" w:name="_Toc20829"/>
      <w:r>
        <w:rPr>
          <w:rFonts w:hint="eastAsia" w:ascii="华文楷体" w:hAnsi="华文楷体" w:eastAsia="华文楷体" w:cs="华文楷体"/>
          <w:b w:val="0"/>
          <w:bCs/>
          <w:sz w:val="24"/>
          <w:szCs w:val="24"/>
          <w:lang w:val="en-US" w:eastAsia="zh-CN"/>
        </w:rPr>
        <w:t xml:space="preserve">                        </w:t>
      </w:r>
      <w:r>
        <w:rPr>
          <w:rFonts w:hint="eastAsia" w:ascii="华文楷体" w:hAnsi="华文楷体" w:eastAsia="华文楷体" w:cs="华文楷体"/>
          <w:b/>
          <w:bCs/>
          <w:color w:val="FF0000"/>
          <w:sz w:val="32"/>
          <w:szCs w:val="32"/>
          <w:lang w:val="en-US" w:eastAsia="zh-CN"/>
        </w:rPr>
        <w:t>一、响应函</w:t>
      </w:r>
      <w:bookmarkEnd w:id="22"/>
      <w:bookmarkEnd w:id="23"/>
    </w:p>
    <w:p w14:paraId="5C2F5882">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14:paraId="75520805">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安宁市第一人民医院未被污染输液瓶袋回收处置合作单位遴选项目（2025-2027年）</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ANYGT-YNTP-2024N136</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参加谈判报价，并提交响应文件。</w:t>
      </w:r>
    </w:p>
    <w:p w14:paraId="0CF74D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14:paraId="1E96D6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1、我方已详细审查全部谈判文件，我方完全理解相关文件要求，并承担对这方面有不明及误解的后果。</w:t>
      </w:r>
    </w:p>
    <w:p w14:paraId="33D18D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2、在响应人须知规定的开标日期起遵循本响应文件，并在响应人须知规定的响应文件有效期满之前均具有约束力。</w:t>
      </w:r>
    </w:p>
    <w:p w14:paraId="6C73740A">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3、同意应贵方要求提供与本谈判有关的任何数据或资料，并保证数据和资料的完整性和真实性。</w:t>
      </w:r>
    </w:p>
    <w:p w14:paraId="11462E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4、完全理解贵方不一定要接受最高报价的响应人为成交人的行为。</w:t>
      </w:r>
    </w:p>
    <w:p w14:paraId="6640F7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5．如我方成交：（1）我方承诺在收到成交通知书后，在成交通知书规定的期限内与你方签订合同，并履行相应的合同责任和义务。（2）我方承诺将承担售后服务及保修责任。</w:t>
      </w:r>
    </w:p>
    <w:p w14:paraId="3B8B83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6．我方在此声明，所递交的响应文件及有关资料内容完整、真实和准确。</w:t>
      </w:r>
    </w:p>
    <w:p w14:paraId="7332F3E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14:paraId="2EF13A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14:paraId="3D3F569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14:paraId="0E04F4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14:paraId="3F4582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14:paraId="1CDE42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B9753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14:paraId="79AC08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14:paraId="236648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A6F897E">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14:paraId="551C1BDB">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pgNumType w:fmt="decimal"/>
          <w:cols w:space="425" w:num="1"/>
          <w:docGrid w:type="lines" w:linePitch="312" w:charSpace="0"/>
        </w:sectPr>
      </w:pPr>
    </w:p>
    <w:p w14:paraId="11AE9615">
      <w:pPr>
        <w:pStyle w:val="9"/>
        <w:keepNext w:val="0"/>
        <w:keepLines/>
        <w:pageBreakBefore w:val="0"/>
        <w:widowControl w:val="0"/>
        <w:kinsoku/>
        <w:wordWrap/>
        <w:overflowPunct/>
        <w:topLinePunct w:val="0"/>
        <w:autoSpaceDE/>
        <w:autoSpaceDN/>
        <w:bidi w:val="0"/>
        <w:adjustRightInd/>
        <w:snapToGrid/>
        <w:spacing w:before="0" w:after="0" w:line="240" w:lineRule="auto"/>
        <w:ind w:firstLine="2883" w:firstLineChars="9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24" w:name="_Toc493600038"/>
      <w:bookmarkStart w:id="25" w:name="_Toc13398"/>
      <w:bookmarkStart w:id="26" w:name="_Toc87445179"/>
      <w:bookmarkStart w:id="27" w:name="_Toc1911"/>
      <w:bookmarkStart w:id="28" w:name="_Toc13645"/>
      <w:bookmarkStart w:id="29" w:name="_Toc205269530"/>
      <w:bookmarkStart w:id="30" w:name="_Toc351391183"/>
      <w:bookmarkStart w:id="31" w:name="_Toc389130506"/>
      <w:bookmarkStart w:id="32" w:name="_Toc10217844"/>
      <w:bookmarkStart w:id="33" w:name="_Toc20950"/>
      <w:bookmarkStart w:id="34" w:name="_Toc25991"/>
      <w:r>
        <w:rPr>
          <w:rFonts w:hint="eastAsia" w:ascii="华文楷体" w:hAnsi="华文楷体" w:eastAsia="华文楷体" w:cs="华文楷体"/>
          <w:b/>
          <w:color w:val="FF0000"/>
          <w:kern w:val="0"/>
          <w:sz w:val="32"/>
          <w:szCs w:val="32"/>
          <w:lang w:val="zh-CN" w:eastAsia="zh-CN" w:bidi="ar-SA"/>
        </w:rPr>
        <w:t>二、响应人信息表</w:t>
      </w:r>
      <w:bookmarkEnd w:id="24"/>
      <w:bookmarkEnd w:id="25"/>
      <w:bookmarkEnd w:id="26"/>
      <w:bookmarkEnd w:id="27"/>
      <w:bookmarkEnd w:id="28"/>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21"/>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5" w:name="OLE_LINK22"/>
            <w:bookmarkStart w:id="36"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5"/>
            <w:bookmarkEnd w:id="36"/>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1A442910">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8"/>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37" w:name="_Toc1789"/>
      <w:bookmarkStart w:id="38" w:name="_Toc22111"/>
      <w:r>
        <w:rPr>
          <w:rFonts w:hint="eastAsia" w:ascii="华文楷体" w:hAnsi="华文楷体" w:eastAsia="华文楷体" w:cs="华文楷体"/>
          <w:color w:val="FF0000"/>
          <w:sz w:val="32"/>
          <w:szCs w:val="32"/>
          <w:lang w:val="en-US" w:eastAsia="zh-CN"/>
        </w:rPr>
        <w:t>三、法定代表人(负责人)身份证明书</w:t>
      </w:r>
      <w:bookmarkEnd w:id="29"/>
      <w:bookmarkEnd w:id="30"/>
      <w:bookmarkEnd w:id="31"/>
      <w:bookmarkEnd w:id="32"/>
      <w:bookmarkEnd w:id="33"/>
      <w:bookmarkEnd w:id="37"/>
      <w:bookmarkEnd w:id="38"/>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12"/>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21"/>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5"/>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8"/>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9"/>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39" w:name="_Toc21393"/>
      <w:bookmarkStart w:id="40" w:name="_Toc18719"/>
      <w:bookmarkStart w:id="41" w:name="_Toc20650"/>
      <w:r>
        <w:rPr>
          <w:rFonts w:hint="eastAsia" w:ascii="华文楷体" w:hAnsi="华文楷体" w:eastAsia="华文楷体" w:cs="华文楷体"/>
          <w:b/>
          <w:color w:val="FF0000"/>
          <w:kern w:val="0"/>
          <w:sz w:val="32"/>
          <w:szCs w:val="32"/>
          <w:lang w:val="en-US" w:eastAsia="zh-CN" w:bidi="ar-SA"/>
        </w:rPr>
        <w:t>四、法定代表人（负责人）授权委托书</w:t>
      </w:r>
      <w:bookmarkEnd w:id="39"/>
      <w:bookmarkEnd w:id="40"/>
      <w:bookmarkEnd w:id="41"/>
    </w:p>
    <w:p w14:paraId="2FF61E8F">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color w:val="auto"/>
          <w:sz w:val="24"/>
          <w:szCs w:val="24"/>
          <w:highlight w:val="none"/>
          <w:u w:val="single"/>
        </w:rPr>
        <w:t>安宁市第一人民医院未被污染输液瓶袋回收处置合作单位遴选项目（2025-2027年）</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21"/>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21"/>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13"/>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5"/>
        <w:pageBreakBefore w:val="0"/>
        <w:topLinePunct w:val="0"/>
        <w:bidi w:val="0"/>
        <w:snapToGrid/>
        <w:spacing w:line="240" w:lineRule="auto"/>
        <w:rPr>
          <w:rFonts w:hint="eastAsia" w:ascii="华文楷体" w:hAnsi="华文楷体" w:eastAsia="华文楷体" w:cs="华文楷体"/>
          <w:b w:val="0"/>
          <w:bCs w:val="0"/>
          <w:sz w:val="30"/>
          <w:szCs w:val="30"/>
        </w:rPr>
      </w:pPr>
    </w:p>
    <w:p w14:paraId="23576A5D">
      <w:pPr>
        <w:pStyle w:val="9"/>
        <w:pageBreakBefore w:val="0"/>
        <w:numPr>
          <w:ilvl w:val="0"/>
          <w:numId w:val="0"/>
        </w:numPr>
        <w:topLinePunct w:val="0"/>
        <w:bidi w:val="0"/>
        <w:snapToGrid/>
        <w:spacing w:line="240" w:lineRule="auto"/>
        <w:ind w:firstLine="1602" w:firstLineChars="500"/>
        <w:jc w:val="both"/>
        <w:outlineLvl w:val="0"/>
        <w:rPr>
          <w:rFonts w:hint="eastAsia" w:ascii="华文楷体" w:hAnsi="华文楷体" w:eastAsia="华文楷体" w:cs="华文楷体"/>
          <w:b/>
          <w:color w:val="FF0000"/>
          <w:kern w:val="0"/>
          <w:sz w:val="32"/>
          <w:szCs w:val="32"/>
          <w:lang w:val="en-US" w:eastAsia="zh-CN" w:bidi="ar-SA"/>
        </w:rPr>
      </w:pPr>
      <w:bookmarkStart w:id="42" w:name="_Toc3594"/>
      <w:bookmarkStart w:id="43" w:name="_Toc5428"/>
      <w:r>
        <w:rPr>
          <w:rFonts w:hint="eastAsia" w:ascii="华文楷体" w:hAnsi="华文楷体" w:eastAsia="华文楷体" w:cs="华文楷体"/>
          <w:b/>
          <w:color w:val="FF0000"/>
          <w:kern w:val="0"/>
          <w:sz w:val="32"/>
          <w:szCs w:val="32"/>
          <w:lang w:val="en-US" w:eastAsia="zh-CN" w:bidi="ar-SA"/>
        </w:rPr>
        <w:t>五、委托代理人社保缴纳证明</w:t>
      </w:r>
      <w:bookmarkEnd w:id="42"/>
      <w:bookmarkEnd w:id="43"/>
    </w:p>
    <w:p w14:paraId="40EC0322">
      <w:pPr>
        <w:numPr>
          <w:ilvl w:val="0"/>
          <w:numId w:val="0"/>
        </w:numPr>
        <w:rPr>
          <w:rFonts w:hint="eastAsia" w:ascii="华文楷体" w:hAnsi="华文楷体" w:eastAsia="华文楷体" w:cs="华文楷体"/>
          <w:color w:val="auto"/>
          <w:sz w:val="24"/>
          <w:szCs w:val="24"/>
          <w:lang w:eastAsia="zh-CN"/>
        </w:rPr>
      </w:pPr>
      <w:r>
        <w:rPr>
          <w:rFonts w:hint="eastAsia" w:ascii="华文楷体" w:hAnsi="华文楷体" w:eastAsia="华文楷体" w:cs="华文楷体"/>
          <w:color w:val="auto"/>
          <w:sz w:val="24"/>
          <w:szCs w:val="24"/>
          <w:lang w:eastAsia="zh-CN"/>
        </w:rPr>
        <w:t>（备注，可通过支付宝→市民中心→社保→社保查询→个人社保参保证明查询→个人社保参保证明下载打印（需带有水印及二维码）。如不同供应商委托代理人社保缴纳单位为同一单位，将在符合性审查环节判定为涉嫌串通投标，不予通过审查！）</w:t>
      </w:r>
    </w:p>
    <w:p w14:paraId="4725DDFA">
      <w:pPr>
        <w:pStyle w:val="5"/>
        <w:pageBreakBefore w:val="0"/>
        <w:topLinePunct w:val="0"/>
        <w:bidi w:val="0"/>
        <w:snapToGrid/>
        <w:spacing w:line="240" w:lineRule="auto"/>
        <w:rPr>
          <w:rFonts w:hint="eastAsia" w:ascii="华文楷体" w:hAnsi="华文楷体" w:eastAsia="华文楷体" w:cs="华文楷体"/>
          <w:b w:val="0"/>
          <w:bCs w:val="0"/>
          <w:sz w:val="30"/>
          <w:szCs w:val="30"/>
        </w:rPr>
      </w:pPr>
    </w:p>
    <w:p w14:paraId="694DB7FB">
      <w:pPr>
        <w:pStyle w:val="10"/>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1D3BD48A">
      <w:pPr>
        <w:pStyle w:val="10"/>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40E73F77">
      <w:pPr>
        <w:pStyle w:val="10"/>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423BB405">
      <w:pPr>
        <w:pStyle w:val="10"/>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605B80AA">
      <w:pPr>
        <w:pStyle w:val="10"/>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267D4713">
      <w:pPr>
        <w:pStyle w:val="10"/>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4DCC0CF3">
      <w:pPr>
        <w:pStyle w:val="10"/>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3B481B7D">
      <w:pPr>
        <w:pStyle w:val="10"/>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02643585">
      <w:pPr>
        <w:pStyle w:val="10"/>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08B5C564">
      <w:pPr>
        <w:pStyle w:val="10"/>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181BF647">
      <w:pPr>
        <w:pStyle w:val="10"/>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68D263DB">
      <w:pPr>
        <w:pStyle w:val="10"/>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7D52690B">
      <w:pPr>
        <w:pStyle w:val="10"/>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49F62053">
      <w:pPr>
        <w:pStyle w:val="10"/>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9"/>
        <w:rPr>
          <w:rFonts w:hint="eastAsia" w:ascii="华文楷体" w:hAnsi="华文楷体" w:eastAsia="华文楷体" w:cs="华文楷体"/>
          <w:b/>
          <w:color w:val="FF0000"/>
          <w:kern w:val="0"/>
          <w:sz w:val="32"/>
          <w:szCs w:val="32"/>
          <w:lang w:val="en-US" w:eastAsia="zh-CN" w:bidi="ar-SA"/>
        </w:rPr>
      </w:pPr>
    </w:p>
    <w:p w14:paraId="690245F6">
      <w:pPr>
        <w:pStyle w:val="10"/>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9"/>
        <w:rPr>
          <w:rFonts w:hint="eastAsia" w:ascii="华文楷体" w:hAnsi="华文楷体" w:eastAsia="华文楷体" w:cs="华文楷体"/>
          <w:b/>
          <w:color w:val="FF0000"/>
          <w:kern w:val="0"/>
          <w:sz w:val="32"/>
          <w:szCs w:val="32"/>
          <w:lang w:val="en-US" w:eastAsia="zh-CN" w:bidi="ar-SA"/>
        </w:rPr>
      </w:pPr>
    </w:p>
    <w:p w14:paraId="033B2430">
      <w:pPr>
        <w:pStyle w:val="10"/>
        <w:keepNext w:val="0"/>
        <w:keepLines/>
        <w:pageBreakBefore w:val="0"/>
        <w:widowControl w:val="0"/>
        <w:kinsoku/>
        <w:wordWrap/>
        <w:overflowPunct/>
        <w:topLinePunct w:val="0"/>
        <w:autoSpaceDE/>
        <w:autoSpaceDN/>
        <w:bidi w:val="0"/>
        <w:adjustRightInd/>
        <w:snapToGrid/>
        <w:spacing w:before="0" w:after="0" w:line="240" w:lineRule="auto"/>
        <w:ind w:firstLine="2242" w:firstLineChars="7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44" w:name="_Toc22491"/>
      <w:bookmarkStart w:id="45" w:name="_Toc2441"/>
      <w:r>
        <w:rPr>
          <w:rFonts w:hint="eastAsia" w:ascii="华文楷体" w:hAnsi="华文楷体" w:eastAsia="华文楷体" w:cs="华文楷体"/>
          <w:b/>
          <w:color w:val="FF0000"/>
          <w:kern w:val="0"/>
          <w:sz w:val="32"/>
          <w:szCs w:val="32"/>
          <w:lang w:val="en-US" w:eastAsia="zh-CN" w:bidi="ar-SA"/>
        </w:rPr>
        <w:t>六、响应人资格文件</w:t>
      </w:r>
      <w:bookmarkEnd w:id="44"/>
      <w:bookmarkEnd w:id="45"/>
    </w:p>
    <w:p w14:paraId="101C0E4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华文楷体" w:hAnsi="华文楷体" w:eastAsia="华文楷体" w:cs="华文楷体"/>
          <w:b w:val="0"/>
          <w:bCs w:val="0"/>
          <w:kern w:val="2"/>
          <w:sz w:val="24"/>
          <w:szCs w:val="24"/>
          <w:u w:val="none"/>
          <w:lang w:val="en-US" w:eastAsia="zh-CN" w:bidi="ar-SA"/>
        </w:rPr>
      </w:pPr>
      <w:bookmarkStart w:id="46" w:name="_Toc15525"/>
      <w:bookmarkStart w:id="47" w:name="_Toc9085"/>
      <w:r>
        <w:rPr>
          <w:rFonts w:hint="eastAsia" w:ascii="华文楷体" w:hAnsi="华文楷体" w:eastAsia="华文楷体" w:cs="华文楷体"/>
          <w:b w:val="0"/>
          <w:bCs w:val="0"/>
          <w:kern w:val="2"/>
          <w:sz w:val="24"/>
          <w:szCs w:val="24"/>
          <w:u w:val="none"/>
          <w:lang w:val="en-US" w:eastAsia="zh-CN" w:bidi="ar-SA"/>
        </w:rPr>
        <w:t>1、营业执照</w:t>
      </w:r>
      <w:bookmarkEnd w:id="46"/>
      <w:bookmarkEnd w:id="47"/>
      <w:r>
        <w:rPr>
          <w:rFonts w:hint="eastAsia" w:ascii="华文楷体" w:hAnsi="华文楷体" w:eastAsia="华文楷体" w:cs="华文楷体"/>
          <w:b w:val="0"/>
          <w:bCs w:val="0"/>
          <w:kern w:val="2"/>
          <w:sz w:val="24"/>
          <w:szCs w:val="24"/>
          <w:u w:val="none"/>
          <w:lang w:val="en-US" w:eastAsia="zh-CN" w:bidi="ar-SA"/>
        </w:rPr>
        <w:t>（三证合一）供应商营业执照：要求清晰反映企业法人经营范围，供应商有效的税务登记证供应商有效的组织机构代码证</w:t>
      </w:r>
      <w:bookmarkStart w:id="48" w:name="_Toc20752"/>
      <w:r>
        <w:rPr>
          <w:rFonts w:hint="eastAsia" w:ascii="华文楷体" w:hAnsi="华文楷体" w:eastAsia="华文楷体" w:cs="华文楷体"/>
          <w:b w:val="0"/>
          <w:bCs w:val="0"/>
          <w:kern w:val="2"/>
          <w:sz w:val="24"/>
          <w:szCs w:val="24"/>
          <w:u w:val="none"/>
          <w:lang w:val="en-US" w:eastAsia="zh-CN" w:bidi="ar-SA"/>
        </w:rPr>
        <w:t>；</w:t>
      </w:r>
      <w:r>
        <w:rPr>
          <w:rFonts w:hint="eastAsia" w:ascii="华文楷体" w:hAnsi="华文楷体" w:eastAsia="华文楷体" w:cs="华文楷体"/>
          <w:b w:val="0"/>
          <w:bCs w:val="0"/>
          <w:color w:val="FF0000"/>
          <w:kern w:val="2"/>
          <w:sz w:val="24"/>
          <w:szCs w:val="24"/>
          <w:u w:val="none"/>
          <w:lang w:val="en-US" w:eastAsia="zh-CN" w:bidi="ar-SA"/>
        </w:rPr>
        <w:t>2、</w:t>
      </w:r>
      <w:bookmarkEnd w:id="48"/>
      <w:r>
        <w:rPr>
          <w:rFonts w:hint="eastAsia" w:ascii="华文楷体" w:hAnsi="华文楷体" w:eastAsia="华文楷体" w:cs="华文楷体"/>
          <w:b w:val="0"/>
          <w:bCs w:val="0"/>
          <w:color w:val="FF0000"/>
          <w:kern w:val="2"/>
          <w:sz w:val="24"/>
          <w:szCs w:val="24"/>
          <w:u w:val="none"/>
          <w:lang w:val="en-US" w:eastAsia="zh-CN" w:bidi="ar-SA"/>
        </w:rPr>
        <w:t>供应商需在云南省医疗卫生机构未污染输液瓶（袋）回收利用企业名单内，提供红头文件证明</w:t>
      </w:r>
    </w:p>
    <w:p w14:paraId="6F772026">
      <w:pPr>
        <w:pStyle w:val="8"/>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8"/>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8"/>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8"/>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CC1CCA">
      <w:pPr>
        <w:pStyle w:val="10"/>
        <w:keepNext w:val="0"/>
        <w:keepLines/>
        <w:pageBreakBefore w:val="0"/>
        <w:widowControl w:val="0"/>
        <w:numPr>
          <w:numId w:val="0"/>
        </w:numPr>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49" w:name="_Toc20602"/>
      <w:bookmarkStart w:id="50" w:name="_Toc29955"/>
    </w:p>
    <w:p w14:paraId="18840ED7">
      <w:pPr>
        <w:pStyle w:val="10"/>
        <w:keepNext w:val="0"/>
        <w:keepLines/>
        <w:pageBreakBefore w:val="0"/>
        <w:widowControl w:val="0"/>
        <w:numPr>
          <w:numId w:val="0"/>
        </w:numPr>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4783D5F6">
      <w:pPr>
        <w:pStyle w:val="10"/>
        <w:keepNext w:val="0"/>
        <w:keepLines/>
        <w:pageBreakBefore w:val="0"/>
        <w:widowControl w:val="0"/>
        <w:numPr>
          <w:numId w:val="0"/>
        </w:numPr>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DC0329B">
      <w:pPr>
        <w:pStyle w:val="10"/>
        <w:keepNext w:val="0"/>
        <w:keepLines/>
        <w:pageBreakBefore w:val="0"/>
        <w:widowControl w:val="0"/>
        <w:numPr>
          <w:numId w:val="0"/>
        </w:numPr>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36E62971">
      <w:pPr>
        <w:pStyle w:val="10"/>
        <w:keepNext w:val="0"/>
        <w:keepLines/>
        <w:pageBreakBefore w:val="0"/>
        <w:widowControl w:val="0"/>
        <w:numPr>
          <w:numId w:val="0"/>
        </w:numPr>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28D0B430">
      <w:pPr>
        <w:pStyle w:val="10"/>
        <w:keepNext w:val="0"/>
        <w:keepLines/>
        <w:pageBreakBefore w:val="0"/>
        <w:widowControl w:val="0"/>
        <w:numPr>
          <w:numId w:val="0"/>
        </w:numPr>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3D2550CD">
      <w:pPr>
        <w:pStyle w:val="10"/>
        <w:keepNext w:val="0"/>
        <w:keepLines/>
        <w:pageBreakBefore w:val="0"/>
        <w:widowControl w:val="0"/>
        <w:numPr>
          <w:numId w:val="0"/>
        </w:numPr>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45940A28">
      <w:pPr>
        <w:pStyle w:val="10"/>
        <w:keepNext w:val="0"/>
        <w:keepLines/>
        <w:pageBreakBefore w:val="0"/>
        <w:widowControl w:val="0"/>
        <w:numPr>
          <w:numId w:val="0"/>
        </w:numPr>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4459AA36">
      <w:pPr>
        <w:pStyle w:val="10"/>
        <w:keepNext w:val="0"/>
        <w:keepLines/>
        <w:pageBreakBefore w:val="0"/>
        <w:widowControl w:val="0"/>
        <w:numPr>
          <w:numId w:val="0"/>
        </w:numPr>
        <w:kinsoku/>
        <w:wordWrap/>
        <w:overflowPunct/>
        <w:topLinePunct w:val="0"/>
        <w:autoSpaceDE/>
        <w:autoSpaceDN/>
        <w:bidi w:val="0"/>
        <w:adjustRightInd/>
        <w:snapToGrid/>
        <w:spacing w:before="0" w:after="0" w:line="360" w:lineRule="auto"/>
        <w:ind w:firstLine="2563" w:firstLineChars="8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51" w:name="_Toc4637"/>
      <w:r>
        <w:rPr>
          <w:rFonts w:hint="eastAsia" w:ascii="华文楷体" w:hAnsi="华文楷体" w:eastAsia="华文楷体" w:cs="华文楷体"/>
          <w:b/>
          <w:color w:val="FF0000"/>
          <w:kern w:val="0"/>
          <w:sz w:val="32"/>
          <w:szCs w:val="32"/>
          <w:lang w:val="en-US" w:eastAsia="zh-CN" w:bidi="ar-SA"/>
        </w:rPr>
        <w:t>七、项目人员配备方案</w:t>
      </w:r>
      <w:bookmarkEnd w:id="49"/>
      <w:bookmarkEnd w:id="50"/>
      <w:bookmarkEnd w:id="51"/>
    </w:p>
    <w:p w14:paraId="7F291594">
      <w:pPr>
        <w:pStyle w:val="10"/>
        <w:keepNext w:val="0"/>
        <w:keepLines/>
        <w:pageBreakBefore w:val="0"/>
        <w:widowControl w:val="0"/>
        <w:numPr>
          <w:ilvl w:val="0"/>
          <w:numId w:val="0"/>
        </w:numPr>
        <w:kinsoku/>
        <w:wordWrap/>
        <w:overflowPunct/>
        <w:topLinePunct w:val="0"/>
        <w:autoSpaceDE/>
        <w:autoSpaceDN/>
        <w:bidi w:val="0"/>
        <w:adjustRightInd/>
        <w:snapToGrid/>
        <w:spacing w:before="0" w:after="0" w:line="360" w:lineRule="auto"/>
        <w:ind w:firstLine="3784" w:firstLineChars="1800"/>
        <w:jc w:val="both"/>
        <w:textAlignment w:val="auto"/>
        <w:outlineLvl w:val="0"/>
        <w:rPr>
          <w:rFonts w:hint="eastAsia" w:ascii="华文楷体" w:hAnsi="华文楷体" w:eastAsia="华文楷体" w:cs="华文楷体"/>
          <w:color w:val="000000" w:themeColor="text1"/>
          <w:sz w:val="21"/>
          <w:szCs w:val="21"/>
          <w:lang w:val="en-US" w:eastAsia="zh-CN"/>
          <w14:textFill>
            <w14:solidFill>
              <w14:schemeClr w14:val="tx1"/>
            </w14:solidFill>
          </w14:textFill>
        </w:rPr>
      </w:pPr>
      <w:bookmarkStart w:id="52" w:name="_Toc1365"/>
      <w:r>
        <w:rPr>
          <w:rFonts w:hint="eastAsia" w:ascii="华文楷体" w:hAnsi="华文楷体" w:eastAsia="华文楷体" w:cs="华文楷体"/>
          <w:b/>
          <w:color w:val="000000" w:themeColor="text1"/>
          <w:kern w:val="0"/>
          <w:sz w:val="21"/>
          <w:szCs w:val="21"/>
          <w:lang w:val="en-US" w:eastAsia="zh-CN" w:bidi="ar-SA"/>
          <w14:textFill>
            <w14:solidFill>
              <w14:schemeClr w14:val="tx1"/>
            </w14:solidFill>
          </w14:textFill>
        </w:rPr>
        <w:t>（格式自拟）</w:t>
      </w:r>
      <w:bookmarkEnd w:id="52"/>
    </w:p>
    <w:p w14:paraId="6A78DF24">
      <w:pPr>
        <w:pStyle w:val="10"/>
        <w:keepNext w:val="0"/>
        <w:keepLines/>
        <w:pageBreakBefore w:val="0"/>
        <w:widowControl w:val="0"/>
        <w:numPr>
          <w:ilvl w:val="0"/>
          <w:numId w:val="0"/>
        </w:numPr>
        <w:kinsoku/>
        <w:wordWrap/>
        <w:overflowPunct/>
        <w:topLinePunct w:val="0"/>
        <w:autoSpaceDE/>
        <w:autoSpaceDN/>
        <w:bidi w:val="0"/>
        <w:adjustRightInd/>
        <w:snapToGrid/>
        <w:spacing w:before="0" w:after="0" w:line="360" w:lineRule="auto"/>
        <w:ind w:firstLine="5766" w:firstLineChars="1800"/>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85F6D39">
      <w:pPr>
        <w:pStyle w:val="10"/>
        <w:keepNext w:val="0"/>
        <w:keepLines/>
        <w:pageBreakBefore w:val="0"/>
        <w:widowControl w:val="0"/>
        <w:numPr>
          <w:ilvl w:val="0"/>
          <w:numId w:val="0"/>
        </w:numPr>
        <w:kinsoku/>
        <w:wordWrap/>
        <w:overflowPunct/>
        <w:topLinePunct w:val="0"/>
        <w:autoSpaceDE/>
        <w:autoSpaceDN/>
        <w:bidi w:val="0"/>
        <w:adjustRightInd/>
        <w:snapToGrid/>
        <w:spacing w:before="0" w:after="0" w:line="360" w:lineRule="auto"/>
        <w:ind w:firstLine="5766" w:firstLineChars="1800"/>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313B4C2D">
      <w:pPr>
        <w:pStyle w:val="10"/>
        <w:keepNext w:val="0"/>
        <w:keepLines/>
        <w:pageBreakBefore w:val="0"/>
        <w:widowControl w:val="0"/>
        <w:numPr>
          <w:ilvl w:val="0"/>
          <w:numId w:val="0"/>
        </w:numPr>
        <w:kinsoku/>
        <w:wordWrap/>
        <w:overflowPunct/>
        <w:topLinePunct w:val="0"/>
        <w:autoSpaceDE/>
        <w:autoSpaceDN/>
        <w:bidi w:val="0"/>
        <w:adjustRightInd/>
        <w:snapToGrid/>
        <w:spacing w:before="0" w:after="0" w:line="360" w:lineRule="auto"/>
        <w:ind w:firstLine="5766" w:firstLineChars="1800"/>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23263B2D">
      <w:pPr>
        <w:pStyle w:val="10"/>
        <w:keepNext w:val="0"/>
        <w:keepLines/>
        <w:pageBreakBefore w:val="0"/>
        <w:widowControl w:val="0"/>
        <w:numPr>
          <w:ilvl w:val="0"/>
          <w:numId w:val="0"/>
        </w:numPr>
        <w:kinsoku/>
        <w:wordWrap/>
        <w:overflowPunct/>
        <w:topLinePunct w:val="0"/>
        <w:autoSpaceDE/>
        <w:autoSpaceDN/>
        <w:bidi w:val="0"/>
        <w:adjustRightInd/>
        <w:snapToGrid/>
        <w:spacing w:before="0" w:after="0" w:line="360" w:lineRule="auto"/>
        <w:ind w:firstLine="5766" w:firstLineChars="1800"/>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4893ACFC">
      <w:pPr>
        <w:pStyle w:val="10"/>
        <w:keepNext w:val="0"/>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5D1F21BE">
      <w:pPr>
        <w:pStyle w:val="10"/>
        <w:keepNext w:val="0"/>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42294956">
      <w:pPr>
        <w:pStyle w:val="10"/>
        <w:keepNext w:val="0"/>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82510A0">
      <w:pPr>
        <w:pStyle w:val="10"/>
        <w:keepNext w:val="0"/>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3AEA0F89">
      <w:pPr>
        <w:pStyle w:val="10"/>
        <w:keepNext w:val="0"/>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12975A20">
      <w:pPr>
        <w:pStyle w:val="10"/>
        <w:keepNext w:val="0"/>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2B13234A">
      <w:pPr>
        <w:pStyle w:val="10"/>
        <w:keepNext w:val="0"/>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0BFE9F92">
      <w:pPr>
        <w:pStyle w:val="10"/>
        <w:keepNext w:val="0"/>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80A3F47">
      <w:pPr>
        <w:pStyle w:val="10"/>
        <w:keepNext w:val="0"/>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06A93EE1">
      <w:pPr>
        <w:pStyle w:val="10"/>
        <w:keepNext w:val="0"/>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32FAF9F2">
      <w:pPr>
        <w:pStyle w:val="10"/>
        <w:keepNext w:val="0"/>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4B35B17C">
      <w:pPr>
        <w:pStyle w:val="10"/>
        <w:keepNext w:val="0"/>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2417FF4">
      <w:pPr>
        <w:pStyle w:val="10"/>
        <w:keepNext w:val="0"/>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0A245886">
      <w:pPr>
        <w:pStyle w:val="10"/>
        <w:keepNext w:val="0"/>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37D08DB6">
      <w:pPr>
        <w:pStyle w:val="10"/>
        <w:keepNext w:val="0"/>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448C6F3D">
      <w:pPr>
        <w:pStyle w:val="10"/>
        <w:keepNext w:val="0"/>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2D09F678">
      <w:pPr>
        <w:pStyle w:val="10"/>
        <w:keepNext w:val="0"/>
        <w:keepLines/>
        <w:pageBreakBefore w:val="0"/>
        <w:widowControl w:val="0"/>
        <w:numPr>
          <w:numId w:val="0"/>
        </w:numPr>
        <w:kinsoku/>
        <w:wordWrap/>
        <w:overflowPunct/>
        <w:topLinePunct w:val="0"/>
        <w:autoSpaceDE/>
        <w:autoSpaceDN/>
        <w:bidi w:val="0"/>
        <w:adjustRightInd/>
        <w:snapToGrid/>
        <w:spacing w:before="0" w:after="0" w:line="360" w:lineRule="auto"/>
        <w:ind w:firstLine="1602" w:firstLineChars="5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53" w:name="_Toc3007"/>
      <w:r>
        <w:rPr>
          <w:rFonts w:hint="eastAsia" w:ascii="华文楷体" w:hAnsi="华文楷体" w:eastAsia="华文楷体" w:cs="华文楷体"/>
          <w:b/>
          <w:color w:val="FF0000"/>
          <w:kern w:val="0"/>
          <w:sz w:val="32"/>
          <w:szCs w:val="32"/>
          <w:lang w:val="en-US" w:eastAsia="zh-CN" w:bidi="ar-SA"/>
        </w:rPr>
        <w:t>八、服务质量承诺及保证措施</w:t>
      </w:r>
      <w:bookmarkEnd w:id="53"/>
    </w:p>
    <w:p w14:paraId="2E02FF28">
      <w:pPr>
        <w:pStyle w:val="10"/>
        <w:keepNext w:val="0"/>
        <w:keepLines/>
        <w:pageBreakBefore w:val="0"/>
        <w:widowControl w:val="0"/>
        <w:numPr>
          <w:numId w:val="0"/>
        </w:numPr>
        <w:kinsoku/>
        <w:wordWrap/>
        <w:overflowPunct/>
        <w:topLinePunct w:val="0"/>
        <w:autoSpaceDE/>
        <w:autoSpaceDN/>
        <w:bidi w:val="0"/>
        <w:adjustRightInd/>
        <w:snapToGrid/>
        <w:spacing w:before="0" w:after="0" w:line="360" w:lineRule="auto"/>
        <w:ind w:firstLine="3363" w:firstLineChars="1600"/>
        <w:jc w:val="both"/>
        <w:textAlignment w:val="auto"/>
        <w:outlineLvl w:val="0"/>
        <w:rPr>
          <w:rFonts w:hint="eastAsia" w:ascii="华文楷体" w:hAnsi="华文楷体" w:eastAsia="华文楷体" w:cs="华文楷体"/>
          <w:color w:val="000000" w:themeColor="text1"/>
          <w:sz w:val="21"/>
          <w:szCs w:val="21"/>
          <w:lang w:val="en-US" w:eastAsia="zh-CN"/>
          <w14:textFill>
            <w14:solidFill>
              <w14:schemeClr w14:val="tx1"/>
            </w14:solidFill>
          </w14:textFill>
        </w:rPr>
      </w:pPr>
      <w:bookmarkStart w:id="54" w:name="_Toc895"/>
      <w:r>
        <w:rPr>
          <w:rFonts w:hint="eastAsia" w:ascii="华文楷体" w:hAnsi="华文楷体" w:eastAsia="华文楷体" w:cs="华文楷体"/>
          <w:b/>
          <w:color w:val="000000" w:themeColor="text1"/>
          <w:kern w:val="0"/>
          <w:sz w:val="21"/>
          <w:szCs w:val="21"/>
          <w:lang w:val="en-US" w:eastAsia="zh-CN" w:bidi="ar-SA"/>
          <w14:textFill>
            <w14:solidFill>
              <w14:schemeClr w14:val="tx1"/>
            </w14:solidFill>
          </w14:textFill>
        </w:rPr>
        <w:t>（格式自拟）</w:t>
      </w:r>
      <w:bookmarkEnd w:id="54"/>
    </w:p>
    <w:p w14:paraId="1F476A0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19E13DC8">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1431189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687836C7">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136637AF">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04D5856F">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4BA9A980">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0D7DABEE">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05D095A8">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00164EB4">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76C2BB5E">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54580F29">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3106FD7D">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3BB2E5FD">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4651C65A">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446A1079">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4157B947">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7F6714FA">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2F77EE4B">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6824D5E5">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29B3E6F8">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ind w:firstLine="2563" w:firstLineChars="800"/>
        <w:textAlignment w:val="auto"/>
        <w:rPr>
          <w:rFonts w:hint="eastAsia" w:ascii="华文楷体" w:hAnsi="华文楷体" w:eastAsia="华文楷体" w:cs="华文楷体"/>
          <w:b/>
          <w:color w:val="FF0000"/>
          <w:kern w:val="0"/>
          <w:sz w:val="32"/>
          <w:szCs w:val="32"/>
          <w:lang w:val="en-US" w:eastAsia="zh-CN" w:bidi="ar-SA"/>
        </w:rPr>
      </w:pPr>
      <w:r>
        <w:rPr>
          <w:rFonts w:hint="eastAsia" w:ascii="华文楷体" w:hAnsi="华文楷体" w:eastAsia="华文楷体" w:cs="华文楷体"/>
          <w:b/>
          <w:color w:val="FF0000"/>
          <w:kern w:val="0"/>
          <w:sz w:val="32"/>
          <w:szCs w:val="32"/>
          <w:lang w:val="en-US" w:eastAsia="zh-CN" w:bidi="ar-SA"/>
        </w:rPr>
        <w:t>九、项目实施方案</w:t>
      </w:r>
    </w:p>
    <w:p w14:paraId="7040C911">
      <w:pPr>
        <w:pStyle w:val="10"/>
        <w:keepNext w:val="0"/>
        <w:keepLines/>
        <w:pageBreakBefore w:val="0"/>
        <w:widowControl w:val="0"/>
        <w:numPr>
          <w:ilvl w:val="0"/>
          <w:numId w:val="0"/>
        </w:numPr>
        <w:kinsoku/>
        <w:wordWrap/>
        <w:overflowPunct/>
        <w:topLinePunct w:val="0"/>
        <w:autoSpaceDE/>
        <w:autoSpaceDN/>
        <w:bidi w:val="0"/>
        <w:adjustRightInd/>
        <w:snapToGrid/>
        <w:spacing w:before="0" w:after="0" w:line="360" w:lineRule="auto"/>
        <w:ind w:firstLine="3784" w:firstLineChars="1800"/>
        <w:jc w:val="both"/>
        <w:textAlignment w:val="auto"/>
        <w:outlineLvl w:val="0"/>
        <w:rPr>
          <w:rFonts w:hint="eastAsia" w:ascii="华文楷体" w:hAnsi="华文楷体" w:eastAsia="华文楷体" w:cs="华文楷体"/>
          <w:color w:val="000000" w:themeColor="text1"/>
          <w:sz w:val="21"/>
          <w:szCs w:val="21"/>
          <w:lang w:val="en-US" w:eastAsia="zh-CN"/>
          <w14:textFill>
            <w14:solidFill>
              <w14:schemeClr w14:val="tx1"/>
            </w14:solidFill>
          </w14:textFill>
        </w:rPr>
      </w:pPr>
      <w:bookmarkStart w:id="55" w:name="_Toc14776"/>
      <w:r>
        <w:rPr>
          <w:rFonts w:hint="eastAsia" w:ascii="华文楷体" w:hAnsi="华文楷体" w:eastAsia="华文楷体" w:cs="华文楷体"/>
          <w:b/>
          <w:color w:val="000000" w:themeColor="text1"/>
          <w:kern w:val="0"/>
          <w:sz w:val="21"/>
          <w:szCs w:val="21"/>
          <w:lang w:val="en-US" w:eastAsia="zh-CN" w:bidi="ar-SA"/>
          <w14:textFill>
            <w14:solidFill>
              <w14:schemeClr w14:val="tx1"/>
            </w14:solidFill>
          </w14:textFill>
        </w:rPr>
        <w:t>（格式自拟）</w:t>
      </w:r>
      <w:bookmarkEnd w:id="55"/>
    </w:p>
    <w:p w14:paraId="49B6B2E3">
      <w:pPr>
        <w:pStyle w:val="2"/>
        <w:rPr>
          <w:rFonts w:hint="eastAsia"/>
          <w:lang w:val="en-US" w:eastAsia="zh-CN"/>
        </w:rPr>
      </w:pPr>
    </w:p>
    <w:p w14:paraId="0FDA3815">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146B4C6B">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23E450E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3126E321">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0FCD636B">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2906C6D5">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0B3EBF81">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76C813D3">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5E4CB5B3">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7754C12F">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41C9A357">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689755EE">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3500D660">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58D9AB5F">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12199FDD">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5E33BBB7">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4108FC84">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017BF8F5">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7B208CCE">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0EE6BA6D">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2"/>
          <w:szCs w:val="32"/>
          <w:lang w:val="en-US" w:eastAsia="zh-CN" w:bidi="ar-SA"/>
        </w:rPr>
      </w:pPr>
    </w:p>
    <w:p w14:paraId="42BB9279">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1922" w:firstLineChars="6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56" w:name="_Toc32056"/>
      <w:bookmarkStart w:id="57" w:name="_Toc17234"/>
      <w:bookmarkStart w:id="58" w:name="_Toc15604"/>
      <w:r>
        <w:rPr>
          <w:rFonts w:hint="eastAsia" w:ascii="华文楷体" w:hAnsi="华文楷体" w:eastAsia="华文楷体" w:cs="华文楷体"/>
          <w:b/>
          <w:color w:val="FF0000"/>
          <w:kern w:val="0"/>
          <w:sz w:val="32"/>
          <w:szCs w:val="32"/>
          <w:lang w:val="en-US" w:eastAsia="zh-CN" w:bidi="ar-SA"/>
        </w:rPr>
        <w:t>十、近三年类似项目业绩</w:t>
      </w:r>
      <w:bookmarkEnd w:id="56"/>
      <w:bookmarkEnd w:id="57"/>
    </w:p>
    <w:p w14:paraId="00DCCB3B">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ind w:firstLine="480" w:firstLineChars="200"/>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提供近3年本公司（2021年10月至今）类似项目业绩证明材料（以服务合同为准），服务合同中的业主名称、金额、服务期限等关键信息不得涂盖（有效业绩范围为：输液瓶回收）。</w:t>
      </w:r>
    </w:p>
    <w:p w14:paraId="4E634556">
      <w:pPr>
        <w:jc w:val="center"/>
        <w:rPr>
          <w:rFonts w:hint="eastAsia" w:ascii="华文楷体" w:hAnsi="华文楷体" w:eastAsia="华文楷体" w:cs="华文楷体"/>
          <w:b/>
          <w:color w:val="FF0000"/>
          <w:kern w:val="0"/>
          <w:sz w:val="32"/>
          <w:szCs w:val="32"/>
          <w:lang w:val="en-US" w:eastAsia="zh-CN" w:bidi="ar-SA"/>
        </w:rPr>
      </w:pPr>
    </w:p>
    <w:p w14:paraId="7DDFEDBD">
      <w:pPr>
        <w:jc w:val="center"/>
        <w:rPr>
          <w:rFonts w:hint="eastAsia" w:ascii="华文楷体" w:hAnsi="华文楷体" w:eastAsia="华文楷体" w:cs="华文楷体"/>
          <w:b/>
          <w:color w:val="FF0000"/>
          <w:kern w:val="0"/>
          <w:sz w:val="32"/>
          <w:szCs w:val="32"/>
          <w:lang w:val="en-US" w:eastAsia="zh-CN" w:bidi="ar-SA"/>
        </w:rPr>
      </w:pPr>
    </w:p>
    <w:p w14:paraId="01980448">
      <w:pPr>
        <w:jc w:val="center"/>
        <w:rPr>
          <w:rFonts w:hint="eastAsia" w:ascii="华文楷体" w:hAnsi="华文楷体" w:eastAsia="华文楷体" w:cs="华文楷体"/>
          <w:b/>
          <w:color w:val="FF0000"/>
          <w:kern w:val="0"/>
          <w:sz w:val="32"/>
          <w:szCs w:val="32"/>
          <w:lang w:val="en-US" w:eastAsia="zh-CN" w:bidi="ar-SA"/>
        </w:rPr>
      </w:pPr>
    </w:p>
    <w:p w14:paraId="295AF165">
      <w:pPr>
        <w:jc w:val="center"/>
        <w:rPr>
          <w:rFonts w:hint="eastAsia" w:ascii="华文楷体" w:hAnsi="华文楷体" w:eastAsia="华文楷体" w:cs="华文楷体"/>
          <w:b/>
          <w:color w:val="FF0000"/>
          <w:kern w:val="0"/>
          <w:sz w:val="32"/>
          <w:szCs w:val="32"/>
          <w:lang w:val="en-US" w:eastAsia="zh-CN" w:bidi="ar-SA"/>
        </w:rPr>
      </w:pPr>
    </w:p>
    <w:bookmarkEnd w:id="58"/>
    <w:p w14:paraId="49C7C7FE">
      <w:pPr>
        <w:jc w:val="center"/>
        <w:rPr>
          <w:rFonts w:hint="eastAsia" w:ascii="华文楷体" w:hAnsi="华文楷体" w:eastAsia="华文楷体" w:cs="华文楷体"/>
          <w:b/>
          <w:color w:val="FF0000"/>
          <w:kern w:val="0"/>
          <w:sz w:val="32"/>
          <w:szCs w:val="32"/>
          <w:lang w:val="en-US" w:eastAsia="zh-CN" w:bidi="ar-SA"/>
        </w:rPr>
      </w:pPr>
      <w:bookmarkStart w:id="59" w:name="_Toc23564"/>
    </w:p>
    <w:bookmarkEnd w:id="59"/>
    <w:p w14:paraId="28C8C7BA">
      <w:pPr>
        <w:pStyle w:val="8"/>
        <w:pageBreakBefore w:val="0"/>
        <w:numPr>
          <w:ilvl w:val="1"/>
          <w:numId w:val="0"/>
        </w:numPr>
        <w:topLinePunct w:val="0"/>
        <w:bidi w:val="0"/>
        <w:snapToGrid/>
        <w:spacing w:line="240" w:lineRule="auto"/>
        <w:ind w:firstLine="641" w:firstLineChars="200"/>
        <w:jc w:val="both"/>
        <w:outlineLvl w:val="0"/>
        <w:rPr>
          <w:rFonts w:hint="eastAsia" w:ascii="华文楷体" w:hAnsi="华文楷体" w:eastAsia="华文楷体" w:cs="华文楷体"/>
          <w:b/>
          <w:color w:val="FF0000"/>
          <w:kern w:val="0"/>
          <w:sz w:val="32"/>
          <w:szCs w:val="32"/>
          <w:lang w:val="en-US" w:eastAsia="zh-CN" w:bidi="ar-SA"/>
        </w:rPr>
      </w:pPr>
      <w:bookmarkStart w:id="60" w:name="_Toc9185"/>
      <w:bookmarkStart w:id="61" w:name="_Toc14865"/>
    </w:p>
    <w:p w14:paraId="493C058D">
      <w:pPr>
        <w:pStyle w:val="8"/>
        <w:pageBreakBefore w:val="0"/>
        <w:numPr>
          <w:ilvl w:val="1"/>
          <w:numId w:val="0"/>
        </w:numPr>
        <w:topLinePunct w:val="0"/>
        <w:bidi w:val="0"/>
        <w:snapToGrid/>
        <w:spacing w:line="240" w:lineRule="auto"/>
        <w:ind w:firstLine="641" w:firstLineChars="200"/>
        <w:jc w:val="both"/>
        <w:outlineLvl w:val="0"/>
        <w:rPr>
          <w:rFonts w:hint="eastAsia" w:ascii="华文楷体" w:hAnsi="华文楷体" w:eastAsia="华文楷体" w:cs="华文楷体"/>
          <w:b/>
          <w:color w:val="FF0000"/>
          <w:kern w:val="0"/>
          <w:sz w:val="32"/>
          <w:szCs w:val="32"/>
          <w:lang w:val="en-US" w:eastAsia="zh-CN" w:bidi="ar-SA"/>
        </w:rPr>
      </w:pPr>
    </w:p>
    <w:p w14:paraId="51CBCB2F">
      <w:pPr>
        <w:pStyle w:val="8"/>
        <w:pageBreakBefore w:val="0"/>
        <w:numPr>
          <w:ilvl w:val="1"/>
          <w:numId w:val="0"/>
        </w:numPr>
        <w:topLinePunct w:val="0"/>
        <w:bidi w:val="0"/>
        <w:snapToGrid/>
        <w:spacing w:line="240" w:lineRule="auto"/>
        <w:ind w:firstLine="641" w:firstLineChars="200"/>
        <w:jc w:val="both"/>
        <w:outlineLvl w:val="0"/>
        <w:rPr>
          <w:rFonts w:hint="eastAsia" w:ascii="华文楷体" w:hAnsi="华文楷体" w:eastAsia="华文楷体" w:cs="华文楷体"/>
          <w:b/>
          <w:color w:val="FF0000"/>
          <w:kern w:val="0"/>
          <w:sz w:val="32"/>
          <w:szCs w:val="32"/>
          <w:lang w:val="en-US" w:eastAsia="zh-CN" w:bidi="ar-SA"/>
        </w:rPr>
      </w:pPr>
    </w:p>
    <w:p w14:paraId="4F8A1431">
      <w:pPr>
        <w:pStyle w:val="8"/>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14:paraId="7AA9F1D5">
      <w:pPr>
        <w:pStyle w:val="8"/>
        <w:keepLines w:val="0"/>
        <w:pageBreakBefore w:val="0"/>
        <w:widowControl w:val="0"/>
        <w:numPr>
          <w:ilvl w:val="1"/>
          <w:numId w:val="0"/>
        </w:numPr>
        <w:kinsoku/>
        <w:wordWrap/>
        <w:overflowPunct/>
        <w:topLinePunct w:val="0"/>
        <w:autoSpaceDE/>
        <w:autoSpaceDN/>
        <w:bidi w:val="0"/>
        <w:snapToGrid/>
        <w:spacing w:before="0" w:line="560" w:lineRule="exact"/>
        <w:jc w:val="both"/>
        <w:outlineLvl w:val="0"/>
        <w:rPr>
          <w:rFonts w:hint="eastAsia" w:ascii="华文楷体" w:hAnsi="华文楷体" w:eastAsia="华文楷体" w:cs="华文楷体"/>
          <w:b/>
          <w:color w:val="FF0000"/>
          <w:kern w:val="0"/>
          <w:sz w:val="32"/>
          <w:szCs w:val="32"/>
          <w:lang w:val="en-US" w:eastAsia="zh-CN" w:bidi="ar-SA"/>
        </w:rPr>
      </w:pPr>
    </w:p>
    <w:p w14:paraId="2179A41D">
      <w:pPr>
        <w:pStyle w:val="8"/>
        <w:keepLines w:val="0"/>
        <w:pageBreakBefore w:val="0"/>
        <w:widowControl w:val="0"/>
        <w:numPr>
          <w:ilvl w:val="1"/>
          <w:numId w:val="0"/>
        </w:numPr>
        <w:kinsoku/>
        <w:wordWrap/>
        <w:overflowPunct/>
        <w:topLinePunct w:val="0"/>
        <w:autoSpaceDE/>
        <w:autoSpaceDN/>
        <w:bidi w:val="0"/>
        <w:snapToGrid/>
        <w:spacing w:before="0" w:line="560" w:lineRule="exact"/>
        <w:jc w:val="both"/>
        <w:outlineLvl w:val="0"/>
        <w:rPr>
          <w:rFonts w:hint="eastAsia" w:ascii="华文楷体" w:hAnsi="华文楷体" w:eastAsia="华文楷体" w:cs="华文楷体"/>
          <w:b/>
          <w:color w:val="FF0000"/>
          <w:kern w:val="0"/>
          <w:sz w:val="32"/>
          <w:szCs w:val="32"/>
          <w:lang w:val="en-US" w:eastAsia="zh-CN" w:bidi="ar-SA"/>
        </w:rPr>
      </w:pPr>
    </w:p>
    <w:p w14:paraId="7BF1A6CA">
      <w:pPr>
        <w:pStyle w:val="8"/>
        <w:keepLines w:val="0"/>
        <w:pageBreakBefore w:val="0"/>
        <w:widowControl w:val="0"/>
        <w:numPr>
          <w:ilvl w:val="1"/>
          <w:numId w:val="0"/>
        </w:numPr>
        <w:kinsoku/>
        <w:wordWrap/>
        <w:overflowPunct/>
        <w:topLinePunct w:val="0"/>
        <w:autoSpaceDE/>
        <w:autoSpaceDN/>
        <w:bidi w:val="0"/>
        <w:snapToGrid/>
        <w:spacing w:before="0" w:line="560" w:lineRule="exact"/>
        <w:jc w:val="both"/>
        <w:outlineLvl w:val="0"/>
        <w:rPr>
          <w:rFonts w:hint="eastAsia" w:ascii="华文楷体" w:hAnsi="华文楷体" w:eastAsia="华文楷体" w:cs="华文楷体"/>
          <w:b/>
          <w:color w:val="FF0000"/>
          <w:kern w:val="0"/>
          <w:sz w:val="32"/>
          <w:szCs w:val="32"/>
          <w:lang w:val="en-US" w:eastAsia="zh-CN" w:bidi="ar-SA"/>
        </w:rPr>
      </w:pPr>
    </w:p>
    <w:p w14:paraId="70D317BA">
      <w:pPr>
        <w:pStyle w:val="8"/>
        <w:keepLines w:val="0"/>
        <w:pageBreakBefore w:val="0"/>
        <w:widowControl w:val="0"/>
        <w:numPr>
          <w:ilvl w:val="1"/>
          <w:numId w:val="0"/>
        </w:numPr>
        <w:kinsoku/>
        <w:wordWrap/>
        <w:overflowPunct/>
        <w:topLinePunct w:val="0"/>
        <w:autoSpaceDE/>
        <w:autoSpaceDN/>
        <w:bidi w:val="0"/>
        <w:snapToGrid/>
        <w:spacing w:before="0" w:line="560" w:lineRule="exact"/>
        <w:jc w:val="both"/>
        <w:outlineLvl w:val="0"/>
        <w:rPr>
          <w:rFonts w:hint="eastAsia" w:ascii="华文楷体" w:hAnsi="华文楷体" w:eastAsia="华文楷体" w:cs="华文楷体"/>
          <w:b/>
          <w:color w:val="FF0000"/>
          <w:kern w:val="0"/>
          <w:sz w:val="32"/>
          <w:szCs w:val="32"/>
          <w:lang w:val="en-US" w:eastAsia="zh-CN" w:bidi="ar-SA"/>
        </w:rPr>
      </w:pPr>
    </w:p>
    <w:p w14:paraId="45E5403F">
      <w:pPr>
        <w:pStyle w:val="8"/>
        <w:keepLines w:val="0"/>
        <w:pageBreakBefore w:val="0"/>
        <w:widowControl w:val="0"/>
        <w:numPr>
          <w:ilvl w:val="1"/>
          <w:numId w:val="0"/>
        </w:numPr>
        <w:kinsoku/>
        <w:wordWrap/>
        <w:overflowPunct/>
        <w:topLinePunct w:val="0"/>
        <w:autoSpaceDE/>
        <w:autoSpaceDN/>
        <w:bidi w:val="0"/>
        <w:snapToGrid/>
        <w:spacing w:before="0" w:line="560" w:lineRule="exact"/>
        <w:jc w:val="both"/>
        <w:outlineLvl w:val="0"/>
        <w:rPr>
          <w:rFonts w:hint="eastAsia" w:ascii="华文楷体" w:hAnsi="华文楷体" w:eastAsia="华文楷体" w:cs="华文楷体"/>
          <w:b/>
          <w:color w:val="FF0000"/>
          <w:kern w:val="0"/>
          <w:sz w:val="32"/>
          <w:szCs w:val="32"/>
          <w:lang w:val="en-US" w:eastAsia="zh-CN" w:bidi="ar-SA"/>
        </w:rPr>
      </w:pPr>
    </w:p>
    <w:p w14:paraId="1345A68E">
      <w:pPr>
        <w:pStyle w:val="8"/>
        <w:keepLines w:val="0"/>
        <w:pageBreakBefore w:val="0"/>
        <w:widowControl w:val="0"/>
        <w:numPr>
          <w:ilvl w:val="1"/>
          <w:numId w:val="0"/>
        </w:numPr>
        <w:kinsoku/>
        <w:wordWrap/>
        <w:overflowPunct/>
        <w:topLinePunct w:val="0"/>
        <w:autoSpaceDE/>
        <w:autoSpaceDN/>
        <w:bidi w:val="0"/>
        <w:snapToGrid/>
        <w:spacing w:before="0" w:line="560" w:lineRule="exact"/>
        <w:jc w:val="both"/>
        <w:outlineLvl w:val="0"/>
        <w:rPr>
          <w:rFonts w:hint="eastAsia" w:ascii="华文楷体" w:hAnsi="华文楷体" w:eastAsia="华文楷体" w:cs="华文楷体"/>
          <w:b/>
          <w:color w:val="FF0000"/>
          <w:kern w:val="0"/>
          <w:sz w:val="32"/>
          <w:szCs w:val="32"/>
          <w:lang w:val="en-US" w:eastAsia="zh-CN" w:bidi="ar-SA"/>
        </w:rPr>
      </w:pPr>
    </w:p>
    <w:p w14:paraId="2A20B05C">
      <w:pPr>
        <w:pStyle w:val="8"/>
        <w:keepLines w:val="0"/>
        <w:pageBreakBefore w:val="0"/>
        <w:widowControl w:val="0"/>
        <w:numPr>
          <w:ilvl w:val="1"/>
          <w:numId w:val="0"/>
        </w:numPr>
        <w:kinsoku/>
        <w:wordWrap/>
        <w:overflowPunct/>
        <w:topLinePunct w:val="0"/>
        <w:autoSpaceDE/>
        <w:autoSpaceDN/>
        <w:bidi w:val="0"/>
        <w:snapToGrid/>
        <w:spacing w:before="0" w:line="560" w:lineRule="exact"/>
        <w:jc w:val="both"/>
        <w:outlineLvl w:val="0"/>
        <w:rPr>
          <w:rFonts w:hint="eastAsia" w:ascii="华文楷体" w:hAnsi="华文楷体" w:eastAsia="华文楷体" w:cs="华文楷体"/>
          <w:b/>
          <w:color w:val="FF0000"/>
          <w:kern w:val="0"/>
          <w:sz w:val="32"/>
          <w:szCs w:val="32"/>
          <w:lang w:val="en-US" w:eastAsia="zh-CN" w:bidi="ar-SA"/>
        </w:rPr>
      </w:pPr>
    </w:p>
    <w:p w14:paraId="31C3F200">
      <w:pPr>
        <w:pStyle w:val="8"/>
        <w:keepNext w:val="0"/>
        <w:keepLines w:val="0"/>
        <w:pageBreakBefore w:val="0"/>
        <w:widowControl w:val="0"/>
        <w:numPr>
          <w:ilvl w:val="1"/>
          <w:numId w:val="0"/>
        </w:numPr>
        <w:kinsoku/>
        <w:wordWrap/>
        <w:overflowPunct/>
        <w:topLinePunct w:val="0"/>
        <w:autoSpaceDE/>
        <w:autoSpaceDN/>
        <w:bidi w:val="0"/>
        <w:adjustRightInd w:val="0"/>
        <w:snapToGrid/>
        <w:spacing w:before="0" w:line="560" w:lineRule="exact"/>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2E74F30B">
      <w:pPr>
        <w:pStyle w:val="8"/>
        <w:keepNext w:val="0"/>
        <w:keepLines w:val="0"/>
        <w:pageBreakBefore w:val="0"/>
        <w:widowControl w:val="0"/>
        <w:numPr>
          <w:ilvl w:val="1"/>
          <w:numId w:val="0"/>
        </w:numPr>
        <w:kinsoku/>
        <w:wordWrap/>
        <w:overflowPunct/>
        <w:topLinePunct w:val="0"/>
        <w:autoSpaceDE/>
        <w:autoSpaceDN/>
        <w:bidi w:val="0"/>
        <w:adjustRightInd w:val="0"/>
        <w:snapToGrid/>
        <w:spacing w:before="0" w:line="560" w:lineRule="exact"/>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642CD83B">
      <w:pPr>
        <w:pStyle w:val="8"/>
        <w:keepNext w:val="0"/>
        <w:keepLines w:val="0"/>
        <w:pageBreakBefore w:val="0"/>
        <w:widowControl w:val="0"/>
        <w:numPr>
          <w:ilvl w:val="1"/>
          <w:numId w:val="0"/>
        </w:numPr>
        <w:kinsoku/>
        <w:wordWrap/>
        <w:overflowPunct/>
        <w:topLinePunct w:val="0"/>
        <w:autoSpaceDE/>
        <w:autoSpaceDN/>
        <w:bidi w:val="0"/>
        <w:adjustRightInd w:val="0"/>
        <w:snapToGrid/>
        <w:spacing w:before="0" w:line="560" w:lineRule="exact"/>
        <w:ind w:firstLine="1281" w:firstLineChars="4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62" w:name="_Toc21415"/>
      <w:r>
        <w:rPr>
          <w:rFonts w:hint="eastAsia" w:ascii="华文楷体" w:hAnsi="华文楷体" w:eastAsia="华文楷体" w:cs="华文楷体"/>
          <w:b/>
          <w:color w:val="FF0000"/>
          <w:kern w:val="0"/>
          <w:sz w:val="32"/>
          <w:szCs w:val="32"/>
          <w:lang w:val="en-US" w:eastAsia="zh-CN" w:bidi="ar-SA"/>
        </w:rPr>
        <w:t>十一、响应人认为有必要提供的其他文件</w:t>
      </w:r>
      <w:bookmarkEnd w:id="60"/>
      <w:bookmarkEnd w:id="61"/>
      <w:bookmarkEnd w:id="62"/>
    </w:p>
    <w:p w14:paraId="4CE2E8A2">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（格式自拟，加盖公章）</w:t>
      </w:r>
    </w:p>
    <w:p w14:paraId="295BA3F3">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val="0"/>
          <w:bCs w:val="0"/>
          <w:kern w:val="2"/>
          <w:sz w:val="24"/>
          <w:szCs w:val="24"/>
          <w:u w:val="none"/>
          <w:lang w:val="en-US" w:eastAsia="zh-CN" w:bidi="ar-SA"/>
        </w:rPr>
      </w:pPr>
    </w:p>
    <w:p w14:paraId="1C72E391">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4913974E">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10C8FA0">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A24367A">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4572CA8">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1284386">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73DD6458">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E29A5E8">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36D7584">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8DAFF1C">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8C8F3C9">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B8D98A7">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8D1152">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D6F687">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34"/>
    <w:p w14:paraId="736E345A">
      <w:pPr>
        <w:pageBreakBefore w:val="0"/>
        <w:topLinePunct w:val="0"/>
        <w:bidi w:val="0"/>
        <w:snapToGrid/>
        <w:spacing w:line="240" w:lineRule="auto"/>
        <w:jc w:val="both"/>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14:paraId="43DD70DE">
      <w:pPr>
        <w:pStyle w:val="10"/>
        <w:bidi w:val="0"/>
        <w:ind w:firstLine="3203" w:firstLineChars="1000"/>
        <w:jc w:val="both"/>
        <w:outlineLvl w:val="0"/>
        <w:rPr>
          <w:rFonts w:hint="default" w:ascii="宋体" w:hAnsi="宋体" w:eastAsia="宋体" w:cs="宋体"/>
          <w:color w:val="auto"/>
          <w:szCs w:val="21"/>
          <w:highlight w:val="none"/>
          <w:lang w:val="en-US" w:eastAsia="zh-CN"/>
        </w:rPr>
      </w:pPr>
      <w:bookmarkStart w:id="63" w:name="_Toc17769"/>
      <w:r>
        <w:rPr>
          <w:rFonts w:hint="eastAsia" w:ascii="华文楷体" w:hAnsi="华文楷体" w:eastAsia="华文楷体" w:cs="华文楷体"/>
          <w:b/>
          <w:color w:val="FF0000"/>
          <w:kern w:val="0"/>
          <w:sz w:val="32"/>
          <w:szCs w:val="32"/>
          <w:lang w:val="en-US" w:eastAsia="zh-CN" w:bidi="ar-SA"/>
        </w:rPr>
        <w:t>十二、</w:t>
      </w:r>
      <w:bookmarkStart w:id="64" w:name="_Toc31202"/>
      <w:bookmarkStart w:id="65" w:name="_Toc29523"/>
      <w:r>
        <w:rPr>
          <w:rFonts w:hint="eastAsia" w:ascii="华文楷体" w:hAnsi="华文楷体" w:eastAsia="华文楷体" w:cs="华文楷体"/>
          <w:b/>
          <w:color w:val="FF0000"/>
          <w:kern w:val="0"/>
          <w:sz w:val="32"/>
          <w:szCs w:val="32"/>
          <w:lang w:val="en-US" w:eastAsia="zh-CN" w:bidi="ar-SA"/>
        </w:rPr>
        <w:t>不参与围标串标承诺书</w:t>
      </w:r>
      <w:bookmarkEnd w:id="63"/>
    </w:p>
    <w:p w14:paraId="4E729603">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华文楷体" w:hAnsi="华文楷体" w:eastAsia="华文楷体" w:cs="华文楷体"/>
          <w:b/>
          <w:bCs/>
          <w:color w:val="auto"/>
          <w:sz w:val="21"/>
          <w:szCs w:val="21"/>
          <w:highlight w:val="none"/>
          <w:u w:val="single"/>
        </w:rPr>
      </w:pPr>
      <w:r>
        <w:rPr>
          <w:rFonts w:hint="eastAsia" w:ascii="华文楷体" w:hAnsi="华文楷体" w:eastAsia="华文楷体" w:cs="华文楷体"/>
          <w:b/>
          <w:bCs/>
          <w:color w:val="auto"/>
          <w:sz w:val="21"/>
          <w:szCs w:val="21"/>
          <w:highlight w:val="none"/>
        </w:rPr>
        <w:t>致：</w:t>
      </w:r>
      <w:r>
        <w:rPr>
          <w:rFonts w:hint="eastAsia" w:ascii="华文楷体" w:hAnsi="华文楷体" w:eastAsia="华文楷体" w:cs="华文楷体"/>
          <w:b/>
          <w:bCs/>
          <w:color w:val="auto"/>
          <w:sz w:val="21"/>
          <w:szCs w:val="21"/>
          <w:highlight w:val="none"/>
          <w:u w:val="single"/>
          <w:lang w:val="en-US" w:eastAsia="zh-CN"/>
        </w:rPr>
        <w:t>安宁市第一人民医院</w:t>
      </w:r>
    </w:p>
    <w:p w14:paraId="52E5B1B4">
      <w:pPr>
        <w:pStyle w:val="14"/>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本承诺作为</w:t>
      </w: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对</w:t>
      </w:r>
      <w:r>
        <w:rPr>
          <w:rFonts w:hint="eastAsia" w:ascii="华文楷体" w:hAnsi="华文楷体" w:eastAsia="华文楷体" w:cs="华文楷体"/>
          <w:color w:val="auto"/>
          <w:sz w:val="21"/>
          <w:szCs w:val="21"/>
          <w:highlight w:val="none"/>
          <w:u w:val="single"/>
          <w:lang w:val="en-US" w:eastAsia="zh-CN"/>
        </w:rPr>
        <w:t xml:space="preserve">安宁市第一人民医院未被污染输液瓶袋回收处置合作单位遴选项目（2025-2027年） </w:t>
      </w:r>
      <w:r>
        <w:rPr>
          <w:rFonts w:hint="eastAsia" w:ascii="华文楷体" w:hAnsi="华文楷体" w:eastAsia="华文楷体" w:cs="华文楷体"/>
          <w:color w:val="auto"/>
          <w:sz w:val="21"/>
          <w:szCs w:val="21"/>
          <w:highlight w:val="none"/>
          <w:u w:val="single"/>
        </w:rPr>
        <w:t>(项目编号：</w:t>
      </w:r>
      <w:r>
        <w:rPr>
          <w:rFonts w:hint="eastAsia" w:ascii="华文楷体" w:hAnsi="华文楷体" w:eastAsia="华文楷体" w:cs="华文楷体"/>
          <w:color w:val="auto"/>
          <w:sz w:val="21"/>
          <w:szCs w:val="21"/>
          <w:highlight w:val="none"/>
          <w:u w:val="single"/>
          <w:lang w:val="en-US" w:eastAsia="zh-CN"/>
        </w:rPr>
        <w:t>ANYGT-YNTP-2024N136</w:t>
      </w:r>
      <w:r>
        <w:rPr>
          <w:rFonts w:hint="eastAsia" w:ascii="华文楷体" w:hAnsi="华文楷体" w:eastAsia="华文楷体" w:cs="华文楷体"/>
          <w:color w:val="auto"/>
          <w:sz w:val="21"/>
          <w:szCs w:val="21"/>
          <w:highlight w:val="none"/>
          <w:u w:val="single"/>
        </w:rPr>
        <w:t>)</w:t>
      </w:r>
      <w:r>
        <w:rPr>
          <w:rFonts w:hint="eastAsia" w:ascii="华文楷体" w:hAnsi="华文楷体" w:eastAsia="华文楷体" w:cs="华文楷体"/>
          <w:color w:val="auto"/>
          <w:sz w:val="21"/>
          <w:szCs w:val="21"/>
          <w:highlight w:val="none"/>
        </w:rPr>
        <w:t>的承诺。</w:t>
      </w:r>
    </w:p>
    <w:p w14:paraId="45F95DD6">
      <w:pPr>
        <w:pStyle w:val="14"/>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在此承诺：</w:t>
      </w:r>
    </w:p>
    <w:p w14:paraId="4080F2C8">
      <w:pPr>
        <w:pStyle w:val="14"/>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一、我单位遵循公开、公平、公正、诚实守信的原则，依法依规参与本项目竞标。</w:t>
      </w:r>
    </w:p>
    <w:p w14:paraId="24772125">
      <w:pPr>
        <w:pStyle w:val="14"/>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0"/>
        <w:rPr>
          <w:rFonts w:hint="eastAsia" w:ascii="华文楷体" w:hAnsi="华文楷体" w:eastAsia="华文楷体" w:cs="华文楷体"/>
          <w:color w:val="auto"/>
          <w:sz w:val="21"/>
          <w:szCs w:val="21"/>
          <w:highlight w:val="none"/>
        </w:rPr>
      </w:pPr>
      <w:bookmarkStart w:id="66" w:name="_Toc18766"/>
      <w:r>
        <w:rPr>
          <w:rFonts w:hint="eastAsia" w:ascii="华文楷体" w:hAnsi="华文楷体" w:eastAsia="华文楷体" w:cs="华文楷体"/>
          <w:color w:val="auto"/>
          <w:sz w:val="21"/>
          <w:szCs w:val="21"/>
          <w:highlight w:val="none"/>
        </w:rPr>
        <w:t>二、我单位在本项目招标投标活动中，未参与围标串标。</w:t>
      </w:r>
      <w:bookmarkEnd w:id="66"/>
    </w:p>
    <w:p w14:paraId="329399B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三、我单位如被查实在本项目招标投标活动中存在围标串标的，递交投标文件行为作为实施串通投标违法行为的关键环节，承担直接责任人员法律责任，接受相应行政处罚和失信惩戒。</w:t>
      </w:r>
    </w:p>
    <w:p w14:paraId="0AF41D75">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outlineLvl w:val="0"/>
        <w:rPr>
          <w:rFonts w:hint="eastAsia" w:ascii="华文楷体" w:hAnsi="华文楷体" w:eastAsia="华文楷体" w:cs="华文楷体"/>
          <w:color w:val="auto"/>
          <w:sz w:val="21"/>
          <w:szCs w:val="21"/>
          <w:highlight w:val="none"/>
        </w:rPr>
      </w:pPr>
      <w:bookmarkStart w:id="67" w:name="_Toc11726"/>
      <w:r>
        <w:rPr>
          <w:rFonts w:hint="eastAsia" w:ascii="华文楷体" w:hAnsi="华文楷体" w:eastAsia="华文楷体" w:cs="华文楷体"/>
          <w:color w:val="auto"/>
          <w:sz w:val="21"/>
          <w:szCs w:val="21"/>
          <w:highlight w:val="none"/>
          <w:lang w:val="en-US" w:eastAsia="zh-CN"/>
        </w:rPr>
        <w:t>四、处理方式：</w:t>
      </w:r>
      <w:bookmarkEnd w:id="67"/>
    </w:p>
    <w:p w14:paraId="6368D0C1">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w:t>
      </w:r>
      <w:r>
        <w:rPr>
          <w:rFonts w:hint="eastAsia" w:ascii="华文楷体" w:hAnsi="华文楷体" w:eastAsia="华文楷体" w:cs="华文楷体"/>
          <w:color w:val="auto"/>
          <w:sz w:val="21"/>
          <w:szCs w:val="21"/>
          <w:highlight w:val="none"/>
          <w:lang w:val="en-US" w:eastAsia="zh-CN"/>
        </w:rPr>
        <w:t>依据</w:t>
      </w:r>
      <w:r>
        <w:rPr>
          <w:rFonts w:hint="eastAsia" w:ascii="华文楷体" w:hAnsi="华文楷体" w:eastAsia="华文楷体" w:cs="华文楷体"/>
          <w:color w:val="auto"/>
          <w:sz w:val="21"/>
          <w:szCs w:val="21"/>
          <w:highlight w:val="none"/>
        </w:rPr>
        <w:t>最高人民检察院、公安部关于公安机关管辖的刑事案件立案追诉标准的规定(二)》(公通字[2022]12号，2022年4月6日公布)</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相互串通投标报价，或者</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与</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串通投标，涉嫌下列情形之一的，应予立案追诉:</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1</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损害</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或者国家、集体、公民的合法利益,造成直接经济损失数额在五十万元以上的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2</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违法所得数额在二十万元以上的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3</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中标项目金额在四百万元以上的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4</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采取威胁、欺骗或者贿赂等非法手段的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5</w:t>
      </w:r>
      <w:r>
        <w:rPr>
          <w:rFonts w:hint="eastAsia" w:ascii="华文楷体" w:hAnsi="华文楷体" w:eastAsia="华文楷体" w:cs="华文楷体"/>
          <w:color w:val="auto"/>
          <w:sz w:val="21"/>
          <w:szCs w:val="21"/>
          <w:highlight w:val="none"/>
        </w:rPr>
        <w:t>)虽未达到上述数额标准,但二年内因串通投标受过二次以上行政处罚，又串通投标的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6</w:t>
      </w:r>
      <w:r>
        <w:rPr>
          <w:rFonts w:hint="eastAsia" w:ascii="华文楷体" w:hAnsi="华文楷体" w:eastAsia="华文楷体" w:cs="华文楷体"/>
          <w:color w:val="auto"/>
          <w:sz w:val="21"/>
          <w:szCs w:val="21"/>
          <w:highlight w:val="none"/>
        </w:rPr>
        <w:t>)其他情节严重的情形。</w:t>
      </w:r>
    </w:p>
    <w:p w14:paraId="1BD4346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eastAsia="zh-CN"/>
        </w:rPr>
      </w:pP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二</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我单位</w:t>
      </w:r>
      <w:r>
        <w:rPr>
          <w:rFonts w:hint="eastAsia" w:ascii="华文楷体" w:hAnsi="华文楷体" w:eastAsia="华文楷体" w:cs="华文楷体"/>
          <w:color w:val="auto"/>
          <w:sz w:val="21"/>
          <w:szCs w:val="21"/>
          <w:highlight w:val="none"/>
        </w:rPr>
        <w:t>及其人员如有违规违纪等不当行为的，可及时向</w:t>
      </w:r>
      <w:r>
        <w:rPr>
          <w:rFonts w:hint="eastAsia" w:ascii="华文楷体" w:hAnsi="华文楷体" w:eastAsia="华文楷体" w:cs="华文楷体"/>
          <w:color w:val="auto"/>
          <w:sz w:val="21"/>
          <w:szCs w:val="21"/>
          <w:highlight w:val="none"/>
          <w:lang w:val="en-US" w:eastAsia="zh-CN"/>
        </w:rPr>
        <w:t>有关</w:t>
      </w:r>
      <w:r>
        <w:rPr>
          <w:rFonts w:hint="eastAsia" w:ascii="华文楷体" w:hAnsi="华文楷体" w:eastAsia="华文楷体" w:cs="华文楷体"/>
          <w:color w:val="auto"/>
          <w:sz w:val="21"/>
          <w:szCs w:val="21"/>
          <w:highlight w:val="none"/>
        </w:rPr>
        <w:t>的监督部门进行投诉或举报</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对于情节严重的有权移送司法机关处置</w:t>
      </w:r>
      <w:r>
        <w:rPr>
          <w:rFonts w:hint="eastAsia" w:ascii="华文楷体" w:hAnsi="华文楷体" w:eastAsia="华文楷体" w:cs="华文楷体"/>
          <w:color w:val="auto"/>
          <w:sz w:val="21"/>
          <w:szCs w:val="21"/>
          <w:highlight w:val="none"/>
          <w:lang w:eastAsia="zh-CN"/>
        </w:rPr>
        <w:t>。</w:t>
      </w:r>
    </w:p>
    <w:p w14:paraId="297454F0">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val="en-US" w:eastAsia="zh-CN"/>
        </w:rPr>
      </w:pPr>
      <w:r>
        <w:rPr>
          <w:rFonts w:hint="eastAsia" w:ascii="华文楷体" w:hAnsi="华文楷体" w:eastAsia="华文楷体" w:cs="华文楷体"/>
          <w:color w:val="auto"/>
          <w:sz w:val="21"/>
          <w:szCs w:val="21"/>
          <w:highlight w:val="none"/>
          <w:lang w:val="en-US" w:eastAsia="zh-CN"/>
        </w:rPr>
        <w:t>特此承诺。</w:t>
      </w:r>
    </w:p>
    <w:p w14:paraId="2FB6C15C">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3FA53DB">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69B0F386">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1A606E19">
      <w:pPr>
        <w:rPr>
          <w:rFonts w:hint="eastAsia" w:ascii="华文楷体" w:hAnsi="华文楷体" w:eastAsia="华文楷体" w:cs="华文楷体"/>
          <w:lang w:eastAsia="zh-CN"/>
        </w:rPr>
      </w:pPr>
    </w:p>
    <w:p w14:paraId="24C63CC9">
      <w:pPr>
        <w:keepNext w:val="0"/>
        <w:keepLines/>
        <w:pageBreakBefore w:val="0"/>
        <w:widowControl w:val="0"/>
        <w:kinsoku/>
        <w:wordWrap/>
        <w:overflowPunct/>
        <w:topLinePunct w:val="0"/>
        <w:autoSpaceDE/>
        <w:autoSpaceDN/>
        <w:bidi w:val="0"/>
        <w:adjustRightInd/>
        <w:snapToGrid/>
        <w:spacing w:before="280" w:after="290" w:line="377" w:lineRule="auto"/>
        <w:ind w:right="210"/>
        <w:jc w:val="both"/>
        <w:textAlignment w:val="auto"/>
        <w:outlineLvl w:val="9"/>
        <w:rPr>
          <w:rFonts w:hint="eastAsia" w:ascii="华文楷体" w:hAnsi="华文楷体" w:eastAsia="华文楷体" w:cs="华文楷体"/>
          <w:b/>
          <w:bCs/>
          <w:color w:val="auto"/>
          <w:sz w:val="28"/>
          <w:szCs w:val="28"/>
          <w:highlight w:val="none"/>
        </w:rPr>
      </w:pPr>
    </w:p>
    <w:p w14:paraId="1DCC1170">
      <w:pPr>
        <w:keepNext w:val="0"/>
        <w:keepLines/>
        <w:pageBreakBefore w:val="0"/>
        <w:widowControl w:val="0"/>
        <w:kinsoku/>
        <w:wordWrap/>
        <w:overflowPunct/>
        <w:topLinePunct w:val="0"/>
        <w:autoSpaceDE/>
        <w:autoSpaceDN/>
        <w:bidi w:val="0"/>
        <w:adjustRightInd/>
        <w:snapToGrid/>
        <w:spacing w:before="280" w:after="290" w:line="377" w:lineRule="auto"/>
        <w:ind w:right="210" w:firstLine="2242" w:firstLineChars="800"/>
        <w:jc w:val="both"/>
        <w:textAlignment w:val="auto"/>
        <w:outlineLvl w:val="9"/>
        <w:rPr>
          <w:rFonts w:hint="eastAsia" w:ascii="华文楷体" w:hAnsi="华文楷体" w:eastAsia="华文楷体" w:cs="华文楷体"/>
          <w:b/>
          <w:bCs/>
          <w:color w:val="auto"/>
          <w:kern w:val="2"/>
          <w:sz w:val="28"/>
          <w:szCs w:val="28"/>
          <w:highlight w:val="none"/>
          <w:lang w:val="en-US" w:eastAsia="zh-CN" w:bidi="ar-SA"/>
        </w:rPr>
      </w:pPr>
    </w:p>
    <w:p w14:paraId="2EACB928">
      <w:pPr>
        <w:keepNext w:val="0"/>
        <w:keepLines/>
        <w:pageBreakBefore w:val="0"/>
        <w:widowControl w:val="0"/>
        <w:kinsoku/>
        <w:wordWrap/>
        <w:overflowPunct/>
        <w:topLinePunct w:val="0"/>
        <w:autoSpaceDE/>
        <w:autoSpaceDN/>
        <w:bidi w:val="0"/>
        <w:adjustRightInd/>
        <w:snapToGrid/>
        <w:spacing w:before="280" w:after="290" w:line="377" w:lineRule="auto"/>
        <w:ind w:right="210" w:firstLine="1922" w:firstLineChars="600"/>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23DF4449">
      <w:pPr>
        <w:keepNext w:val="0"/>
        <w:keepLines/>
        <w:pageBreakBefore w:val="0"/>
        <w:widowControl w:val="0"/>
        <w:kinsoku/>
        <w:wordWrap/>
        <w:overflowPunct/>
        <w:topLinePunct w:val="0"/>
        <w:autoSpaceDE/>
        <w:autoSpaceDN/>
        <w:bidi w:val="0"/>
        <w:adjustRightInd/>
        <w:snapToGrid/>
        <w:spacing w:before="280" w:after="290" w:line="377" w:lineRule="auto"/>
        <w:ind w:right="210" w:firstLine="1922" w:firstLineChars="600"/>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2BC383EC">
      <w:pPr>
        <w:keepNext w:val="0"/>
        <w:keepLines/>
        <w:pageBreakBefore w:val="0"/>
        <w:widowControl w:val="0"/>
        <w:kinsoku/>
        <w:wordWrap/>
        <w:overflowPunct/>
        <w:topLinePunct w:val="0"/>
        <w:autoSpaceDE/>
        <w:autoSpaceDN/>
        <w:bidi w:val="0"/>
        <w:adjustRightInd/>
        <w:snapToGrid/>
        <w:spacing w:before="280" w:after="290" w:line="377" w:lineRule="auto"/>
        <w:ind w:right="210" w:firstLine="3524" w:firstLineChars="1100"/>
        <w:jc w:val="both"/>
        <w:textAlignment w:val="auto"/>
        <w:outlineLvl w:val="0"/>
        <w:rPr>
          <w:rFonts w:hint="eastAsia" w:ascii="华文楷体" w:hAnsi="华文楷体" w:eastAsia="华文楷体" w:cs="华文楷体"/>
          <w:b/>
          <w:bCs/>
          <w:color w:val="auto"/>
          <w:kern w:val="2"/>
          <w:sz w:val="28"/>
          <w:szCs w:val="28"/>
          <w:highlight w:val="none"/>
          <w:lang w:val="en-US" w:eastAsia="zh-CN" w:bidi="ar-SA"/>
        </w:rPr>
      </w:pPr>
      <w:bookmarkStart w:id="68" w:name="_Toc31923"/>
      <w:r>
        <w:rPr>
          <w:rFonts w:hint="eastAsia" w:ascii="华文楷体" w:hAnsi="华文楷体" w:eastAsia="华文楷体" w:cs="华文楷体"/>
          <w:b/>
          <w:color w:val="FF0000"/>
          <w:kern w:val="0"/>
          <w:sz w:val="32"/>
          <w:szCs w:val="32"/>
          <w:lang w:val="en-US" w:eastAsia="zh-CN" w:bidi="ar-SA"/>
        </w:rPr>
        <w:t>十三、</w:t>
      </w:r>
      <w:bookmarkEnd w:id="64"/>
      <w:r>
        <w:rPr>
          <w:rFonts w:hint="eastAsia" w:ascii="华文楷体" w:hAnsi="华文楷体" w:eastAsia="华文楷体" w:cs="华文楷体"/>
          <w:b/>
          <w:color w:val="FF0000"/>
          <w:kern w:val="0"/>
          <w:sz w:val="32"/>
          <w:szCs w:val="32"/>
          <w:lang w:val="en-US" w:eastAsia="zh-CN" w:bidi="ar-SA"/>
        </w:rPr>
        <w:t>合规及廉洁自律承诺书</w:t>
      </w:r>
      <w:bookmarkEnd w:id="65"/>
      <w:bookmarkEnd w:id="68"/>
    </w:p>
    <w:p w14:paraId="6F6E59E6">
      <w:pPr>
        <w:keepNext w:val="0"/>
        <w:keepLines w:val="0"/>
        <w:pageBreakBefore w:val="0"/>
        <w:widowControl w:val="0"/>
        <w:kinsoku/>
        <w:wordWrap/>
        <w:overflowPunct/>
        <w:topLinePunct w:val="0"/>
        <w:autoSpaceDE/>
        <w:autoSpaceDN/>
        <w:bidi w:val="0"/>
        <w:adjustRightInd/>
        <w:snapToGrid/>
        <w:spacing w:line="360" w:lineRule="auto"/>
        <w:ind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lang w:val="en-US" w:eastAsia="zh-CN"/>
        </w:rPr>
        <w:t xml:space="preserve"> 安宁市第一人民医院 </w:t>
      </w:r>
      <w:r>
        <w:rPr>
          <w:rFonts w:hint="eastAsia" w:ascii="华文楷体" w:hAnsi="华文楷体" w:eastAsia="华文楷体" w:cs="华文楷体"/>
          <w:color w:val="auto"/>
          <w:sz w:val="21"/>
          <w:szCs w:val="21"/>
          <w:highlight w:val="none"/>
        </w:rPr>
        <w:t>：</w:t>
      </w:r>
    </w:p>
    <w:p w14:paraId="68A0B395">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我方承诺如下：</w:t>
      </w:r>
    </w:p>
    <w:p w14:paraId="4363CA7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outlineLvl w:val="0"/>
        <w:rPr>
          <w:rFonts w:hint="eastAsia" w:ascii="华文楷体" w:hAnsi="华文楷体" w:eastAsia="华文楷体" w:cs="华文楷体"/>
          <w:color w:val="auto"/>
          <w:sz w:val="21"/>
          <w:szCs w:val="21"/>
          <w:highlight w:val="none"/>
        </w:rPr>
      </w:pPr>
      <w:bookmarkStart w:id="69" w:name="_Toc29702"/>
      <w:r>
        <w:rPr>
          <w:rFonts w:hint="eastAsia" w:ascii="华文楷体" w:hAnsi="华文楷体" w:eastAsia="华文楷体" w:cs="华文楷体"/>
          <w:color w:val="auto"/>
          <w:sz w:val="21"/>
          <w:szCs w:val="21"/>
          <w:highlight w:val="none"/>
          <w:lang w:val="en-US" w:eastAsia="zh-CN"/>
        </w:rPr>
        <w:t>一</w:t>
      </w:r>
      <w:r>
        <w:rPr>
          <w:rFonts w:hint="eastAsia" w:ascii="华文楷体" w:hAnsi="华文楷体" w:eastAsia="华文楷体" w:cs="华文楷体"/>
          <w:color w:val="auto"/>
          <w:sz w:val="21"/>
          <w:szCs w:val="21"/>
          <w:highlight w:val="none"/>
        </w:rPr>
        <w:t>、我方保证并要求我方人员及利益相关方做到：</w:t>
      </w:r>
      <w:bookmarkEnd w:id="69"/>
    </w:p>
    <w:p w14:paraId="26C80D6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（一）遵守依法合规经营、诚实守信原则及廉洁从业有关规定。</w:t>
      </w:r>
    </w:p>
    <w:p w14:paraId="40C63EB2">
      <w:pPr>
        <w:keepNext w:val="0"/>
        <w:keepLines w:val="0"/>
        <w:pageBreakBefore w:val="0"/>
        <w:widowControl w:val="0"/>
        <w:kinsoku/>
        <w:wordWrap/>
        <w:overflowPunct/>
        <w:topLinePunct w:val="0"/>
        <w:autoSpaceDE/>
        <w:autoSpaceDN/>
        <w:bidi w:val="0"/>
        <w:adjustRightInd/>
        <w:snapToGrid/>
        <w:spacing w:line="360" w:lineRule="auto"/>
        <w:ind w:left="21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不向贵方及贵方人员赠送任何形式的现金、礼品、支付凭证、消费卡和有价证券等，以及向贵方及贵方人员提供可能影响正常业务开展的无偿或象征性低价付费的物品或服务；不为贵方及贵方人员报销各种费用（法律法规另有规定、贵我双方签署的合同/协议或其他文件另有约定的除外）；不为贵方及贵方人员提供任何形式的赞助、捐赠等。</w:t>
      </w:r>
    </w:p>
    <w:p w14:paraId="4776876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不向贵方及贵方人员以出借、赠予或象征性低价付费等方式提供房屋、机器设备、交通工具、通信设备等资产；不向贵方及贵方人员提供或组织可能影响正常业务开展的宴请、培训、工作考察；不向贵方及贵方人员直接或变相提供或组织娱乐、健身、旅游观光、休闲度假、上学、装修等活动或支付相关费用。</w:t>
      </w:r>
    </w:p>
    <w:p w14:paraId="7C9D8FD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（四）不为贵方及贵方人员及其配偶、子女及其配偶和其他特定关系人（包括但不限于其他近亲属，下同）谋取不正当利益。</w:t>
      </w:r>
    </w:p>
    <w:p w14:paraId="477C39D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（五）不向贵方人员及其配偶、子女及其配偶和其他特定关系人提供借款、租赁或担保。</w:t>
      </w:r>
    </w:p>
    <w:p w14:paraId="426CB06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（六）不向贵方人员直接或间接打听、询问办理业务过程中涉及贵方内部秘密的信息。</w:t>
      </w:r>
    </w:p>
    <w:p w14:paraId="7A25FD9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（七）不要求贵方人员为我方违规或越权开展相关工作。</w:t>
      </w:r>
    </w:p>
    <w:p w14:paraId="0DAEF67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（八）贵方对涉嫌不廉洁的商业行为进行调查时，我方有积极配合贵方并提供相关证据、作证的义务。</w:t>
      </w:r>
    </w:p>
    <w:p w14:paraId="152C269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（九）未经贵方书面同意，我方不得向任何新闻媒体、第三人披露有关</w:t>
      </w:r>
      <w:r>
        <w:rPr>
          <w:rFonts w:hint="eastAsia" w:ascii="华文楷体" w:hAnsi="华文楷体" w:eastAsia="华文楷体" w:cs="华文楷体"/>
          <w:color w:val="auto"/>
          <w:sz w:val="21"/>
          <w:szCs w:val="21"/>
          <w:highlight w:val="none"/>
          <w:lang w:val="en-US" w:eastAsia="zh-CN"/>
        </w:rPr>
        <w:t>医院</w:t>
      </w:r>
      <w:r>
        <w:rPr>
          <w:rFonts w:hint="eastAsia" w:ascii="华文楷体" w:hAnsi="华文楷体" w:eastAsia="华文楷体" w:cs="华文楷体"/>
          <w:color w:val="auto"/>
          <w:sz w:val="21"/>
          <w:szCs w:val="21"/>
          <w:highlight w:val="none"/>
        </w:rPr>
        <w:t>人员关于商业道德方面的评价、信息，也不得披露本承诺书内容及我方与贵方具体商业合作的内容。</w:t>
      </w:r>
    </w:p>
    <w:p w14:paraId="1B1B3E7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（十）未经贵方同意，不为贵方人员提供专职或兼职的工作岗位或向贵方人员发放各种形式的薪酬、奖金、分红。</w:t>
      </w:r>
    </w:p>
    <w:p w14:paraId="2AB5FEF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（十一）不得以不正当渠道或非法手段影响贵方干部人事任免、公共决策等内部行为。</w:t>
      </w:r>
    </w:p>
    <w:p w14:paraId="0481115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（十二）不组织贵方人员及亲属参与赌博等与职务、身份不相称的活动。</w:t>
      </w:r>
    </w:p>
    <w:p w14:paraId="6175A67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（十三）不得做出其他违反相关法律法规、规章规定的行为。</w:t>
      </w:r>
    </w:p>
    <w:p w14:paraId="71282C99">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本承诺书系无条件不可撤销承诺，贵我双方在任何领域、层次、方面的所有合作保持过程中，本承诺书持续有效。</w:t>
      </w:r>
    </w:p>
    <w:p w14:paraId="4B27158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p>
    <w:p w14:paraId="78690E23">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98DB26C">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2921CC1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58BCECCA">
      <w:pPr>
        <w:keepNext/>
        <w:keepLines/>
        <w:spacing w:before="280" w:after="290" w:line="376" w:lineRule="auto"/>
        <w:ind w:right="210" w:firstLine="2563" w:firstLineChars="800"/>
        <w:jc w:val="both"/>
        <w:outlineLvl w:val="0"/>
        <w:rPr>
          <w:rFonts w:hint="eastAsia" w:ascii="华文楷体" w:hAnsi="华文楷体" w:eastAsia="华文楷体" w:cs="华文楷体"/>
          <w:b/>
          <w:bCs/>
          <w:color w:val="auto"/>
          <w:sz w:val="28"/>
          <w:szCs w:val="28"/>
          <w:highlight w:val="none"/>
        </w:rPr>
      </w:pPr>
      <w:bookmarkStart w:id="70" w:name="_Toc6034"/>
      <w:bookmarkStart w:id="71" w:name="_Toc5749"/>
      <w:r>
        <w:rPr>
          <w:rFonts w:hint="eastAsia" w:ascii="华文楷体" w:hAnsi="华文楷体" w:eastAsia="华文楷体" w:cs="华文楷体"/>
          <w:b/>
          <w:color w:val="FF0000"/>
          <w:kern w:val="0"/>
          <w:sz w:val="32"/>
          <w:szCs w:val="32"/>
          <w:lang w:val="en-US" w:eastAsia="zh-CN" w:bidi="ar-SA"/>
        </w:rPr>
        <w:t>十四、不存在禁止参与投保情形承诺书</w:t>
      </w:r>
      <w:bookmarkEnd w:id="70"/>
      <w:bookmarkEnd w:id="71"/>
    </w:p>
    <w:p w14:paraId="0A603B0A">
      <w:pPr>
        <w:keepNext w:val="0"/>
        <w:keepLines w:val="0"/>
        <w:pageBreakBefore w:val="0"/>
        <w:widowControl w:val="0"/>
        <w:kinsoku/>
        <w:wordWrap/>
        <w:overflowPunct/>
        <w:topLinePunct w:val="0"/>
        <w:autoSpaceDE/>
        <w:autoSpaceDN/>
        <w:bidi w:val="0"/>
        <w:adjustRightInd/>
        <w:snapToGrid/>
        <w:spacing w:line="360" w:lineRule="auto"/>
        <w:ind w:left="210"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致：</w:t>
      </w:r>
      <w:r>
        <w:rPr>
          <w:rFonts w:hint="eastAsia" w:ascii="华文楷体" w:hAnsi="华文楷体" w:eastAsia="华文楷体" w:cs="华文楷体"/>
          <w:color w:val="auto"/>
          <w:sz w:val="21"/>
          <w:szCs w:val="21"/>
          <w:highlight w:val="none"/>
          <w:u w:val="single"/>
          <w:lang w:eastAsia="zh-CN"/>
        </w:rPr>
        <w:t>安宁市第一人民医院</w:t>
      </w:r>
      <w:r>
        <w:rPr>
          <w:rFonts w:hint="eastAsia" w:ascii="华文楷体" w:hAnsi="华文楷体" w:eastAsia="华文楷体" w:cs="华文楷体"/>
          <w:color w:val="auto"/>
          <w:sz w:val="21"/>
          <w:szCs w:val="21"/>
          <w:highlight w:val="none"/>
          <w:u w:val="single"/>
        </w:rPr>
        <w:t xml:space="preserve"> </w:t>
      </w:r>
    </w:p>
    <w:p w14:paraId="26945EB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我方参与</w:t>
      </w:r>
      <w:r>
        <w:rPr>
          <w:rFonts w:hint="eastAsia" w:ascii="华文楷体" w:hAnsi="华文楷体" w:eastAsia="华文楷体" w:cs="华文楷体"/>
          <w:color w:val="auto"/>
          <w:sz w:val="21"/>
          <w:szCs w:val="21"/>
          <w:highlight w:val="none"/>
          <w:u w:val="single"/>
          <w:lang w:val="en-US" w:eastAsia="zh-CN"/>
        </w:rPr>
        <w:t>安宁市第一人民医院未被污染输液瓶袋回收处置合作单位遴选项目（2025-2027年）</w:t>
      </w:r>
      <w:r>
        <w:rPr>
          <w:rFonts w:hint="eastAsia" w:ascii="华文楷体" w:hAnsi="华文楷体" w:eastAsia="华文楷体" w:cs="华文楷体"/>
          <w:color w:val="auto"/>
          <w:sz w:val="21"/>
          <w:szCs w:val="21"/>
          <w:highlight w:val="none"/>
        </w:rPr>
        <w:t>的</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，我方在此做以下承诺，不存在下列情形之一：</w:t>
      </w:r>
    </w:p>
    <w:p w14:paraId="2B67634E">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（1）为采购人不具有独立法人资格的附属机构（单位）； </w:t>
      </w:r>
    </w:p>
    <w:p w14:paraId="745A3503">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（2）为本项目前期准备提供设计或咨询服务的，但设计施工总承包的除外； </w:t>
      </w:r>
    </w:p>
    <w:p w14:paraId="6BD809A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（3）与采购人存在利害关系且可能影响采购公正性；</w:t>
      </w:r>
    </w:p>
    <w:p w14:paraId="4449920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（4）与本采购项目的其他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为同一个单位负责人；</w:t>
      </w:r>
    </w:p>
    <w:p w14:paraId="1706752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（5）与本采购项目的其他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存在控股、管理关系；</w:t>
      </w:r>
    </w:p>
    <w:p w14:paraId="37011021">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（6）为本项目的监理人；</w:t>
      </w:r>
    </w:p>
    <w:p w14:paraId="76220F0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（7）为本项目的代建人； </w:t>
      </w:r>
    </w:p>
    <w:p w14:paraId="21FFD07C">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（8）为本项目提供采购代理服务的； </w:t>
      </w:r>
    </w:p>
    <w:p w14:paraId="47E2353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（9）与本项目的监理人或代建人或采购代理机构同为一个法定代表人（单位负责人）的；</w:t>
      </w:r>
    </w:p>
    <w:p w14:paraId="3B0C1B5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（10）与本项目的监理人或代建人或采购代理机构存在或参股关系的；</w:t>
      </w:r>
    </w:p>
    <w:p w14:paraId="1A68968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（11）与本项目的监理人或代建人或采购代理机构相互任职或工作的；</w:t>
      </w:r>
    </w:p>
    <w:p w14:paraId="77194CF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（12）被依法暂停或取消</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 xml:space="preserve">（投标）资格的； </w:t>
      </w:r>
    </w:p>
    <w:p w14:paraId="30A79B7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（13）被责令停产停业、暂扣或者吊销许可证、暂扣或者吊销执照；</w:t>
      </w:r>
    </w:p>
    <w:p w14:paraId="05DD02C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（14）进入清算程序，或被宣告破产，或其他丧失履约能力的情形；</w:t>
      </w:r>
    </w:p>
    <w:p w14:paraId="1EBA83D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（15）法律法规或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须知前附表规定的其他情形。</w:t>
      </w:r>
    </w:p>
    <w:p w14:paraId="25D1438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我方保证上述信息的真实和准确，并愿意承担因我方就此弄虚作假所引起的一切法律后果。</w:t>
      </w:r>
    </w:p>
    <w:p w14:paraId="46D03F1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特此承诺。</w:t>
      </w:r>
    </w:p>
    <w:p w14:paraId="45064DF1">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bookmarkStart w:id="72" w:name="OLE_LINK2"/>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5D802DAD">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01F8D887">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bookmarkEnd w:id="72"/>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5"/>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8"/>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6E531D"/>
    <w:rsid w:val="01F52620"/>
    <w:rsid w:val="02962EDE"/>
    <w:rsid w:val="03503D6C"/>
    <w:rsid w:val="04322EB9"/>
    <w:rsid w:val="04347B65"/>
    <w:rsid w:val="05083B6F"/>
    <w:rsid w:val="053E2A66"/>
    <w:rsid w:val="061D614D"/>
    <w:rsid w:val="06DD2008"/>
    <w:rsid w:val="06F02FBE"/>
    <w:rsid w:val="07FD6DF7"/>
    <w:rsid w:val="09670477"/>
    <w:rsid w:val="09A43E33"/>
    <w:rsid w:val="0AD83203"/>
    <w:rsid w:val="0AF15004"/>
    <w:rsid w:val="0BF75073"/>
    <w:rsid w:val="0C915CF9"/>
    <w:rsid w:val="0D1A7E23"/>
    <w:rsid w:val="0E194378"/>
    <w:rsid w:val="0E543FA7"/>
    <w:rsid w:val="0E6F197A"/>
    <w:rsid w:val="0E8520AF"/>
    <w:rsid w:val="0E8536A2"/>
    <w:rsid w:val="0EF80318"/>
    <w:rsid w:val="0F1E4AAF"/>
    <w:rsid w:val="0F357DEB"/>
    <w:rsid w:val="0FDB07CE"/>
    <w:rsid w:val="1004704F"/>
    <w:rsid w:val="10762BDF"/>
    <w:rsid w:val="10D26947"/>
    <w:rsid w:val="122009AF"/>
    <w:rsid w:val="12704669"/>
    <w:rsid w:val="1290609D"/>
    <w:rsid w:val="129C545E"/>
    <w:rsid w:val="12B44329"/>
    <w:rsid w:val="12F13861"/>
    <w:rsid w:val="143A4F2F"/>
    <w:rsid w:val="144F2FB5"/>
    <w:rsid w:val="1513659E"/>
    <w:rsid w:val="155E1FBF"/>
    <w:rsid w:val="157A58FD"/>
    <w:rsid w:val="157E577E"/>
    <w:rsid w:val="158B3E32"/>
    <w:rsid w:val="17391B01"/>
    <w:rsid w:val="188B28E3"/>
    <w:rsid w:val="1A5225DD"/>
    <w:rsid w:val="1A5861A9"/>
    <w:rsid w:val="1A6A7BF0"/>
    <w:rsid w:val="1AC92B69"/>
    <w:rsid w:val="1B932335"/>
    <w:rsid w:val="1BDD3C44"/>
    <w:rsid w:val="1C292AE4"/>
    <w:rsid w:val="1C3F7586"/>
    <w:rsid w:val="1C5D582C"/>
    <w:rsid w:val="1C9F202D"/>
    <w:rsid w:val="1D8951E2"/>
    <w:rsid w:val="1DE27252"/>
    <w:rsid w:val="1E2C535C"/>
    <w:rsid w:val="1EA44D1C"/>
    <w:rsid w:val="21750BB9"/>
    <w:rsid w:val="21FE134A"/>
    <w:rsid w:val="22210E0A"/>
    <w:rsid w:val="22B1131D"/>
    <w:rsid w:val="24363CA5"/>
    <w:rsid w:val="244E37D6"/>
    <w:rsid w:val="248F398A"/>
    <w:rsid w:val="24E75EC4"/>
    <w:rsid w:val="24F20F0E"/>
    <w:rsid w:val="25555A3E"/>
    <w:rsid w:val="25794F64"/>
    <w:rsid w:val="26701E5E"/>
    <w:rsid w:val="26C708A4"/>
    <w:rsid w:val="26E2013A"/>
    <w:rsid w:val="278C672D"/>
    <w:rsid w:val="280A2CD0"/>
    <w:rsid w:val="281B1F07"/>
    <w:rsid w:val="281D224A"/>
    <w:rsid w:val="29374396"/>
    <w:rsid w:val="29910FDA"/>
    <w:rsid w:val="29DF40EF"/>
    <w:rsid w:val="2AA23D90"/>
    <w:rsid w:val="2AC271DA"/>
    <w:rsid w:val="2AEB6BB7"/>
    <w:rsid w:val="2B63629F"/>
    <w:rsid w:val="2BC65440"/>
    <w:rsid w:val="2CB471D5"/>
    <w:rsid w:val="2DCF09F5"/>
    <w:rsid w:val="2E3F51C4"/>
    <w:rsid w:val="2E6C65AC"/>
    <w:rsid w:val="2EFC7E35"/>
    <w:rsid w:val="2F6E0835"/>
    <w:rsid w:val="313A6169"/>
    <w:rsid w:val="31E3055C"/>
    <w:rsid w:val="321E478D"/>
    <w:rsid w:val="32425718"/>
    <w:rsid w:val="32537490"/>
    <w:rsid w:val="329810D4"/>
    <w:rsid w:val="33C44425"/>
    <w:rsid w:val="33C90985"/>
    <w:rsid w:val="345873FE"/>
    <w:rsid w:val="345968B4"/>
    <w:rsid w:val="355D7C64"/>
    <w:rsid w:val="35601B5C"/>
    <w:rsid w:val="35AD3C5E"/>
    <w:rsid w:val="35B36906"/>
    <w:rsid w:val="35C247F2"/>
    <w:rsid w:val="36A4329F"/>
    <w:rsid w:val="373838CC"/>
    <w:rsid w:val="37565737"/>
    <w:rsid w:val="38190834"/>
    <w:rsid w:val="383832E4"/>
    <w:rsid w:val="38410DFC"/>
    <w:rsid w:val="38766AAA"/>
    <w:rsid w:val="38F00C52"/>
    <w:rsid w:val="394E5ABB"/>
    <w:rsid w:val="39F8091D"/>
    <w:rsid w:val="3A3A3D05"/>
    <w:rsid w:val="3A4B2127"/>
    <w:rsid w:val="3AF811CC"/>
    <w:rsid w:val="3B077069"/>
    <w:rsid w:val="3B30289A"/>
    <w:rsid w:val="3B7D557D"/>
    <w:rsid w:val="3C2F0E1D"/>
    <w:rsid w:val="3C5F4C83"/>
    <w:rsid w:val="3D114B03"/>
    <w:rsid w:val="3D8B21D4"/>
    <w:rsid w:val="3DF5379A"/>
    <w:rsid w:val="3E0C3B84"/>
    <w:rsid w:val="3E896745"/>
    <w:rsid w:val="3ECC77BE"/>
    <w:rsid w:val="3EF43DA9"/>
    <w:rsid w:val="3F4F5483"/>
    <w:rsid w:val="3F8844F1"/>
    <w:rsid w:val="40296E63"/>
    <w:rsid w:val="402A0309"/>
    <w:rsid w:val="40625958"/>
    <w:rsid w:val="41106504"/>
    <w:rsid w:val="41953229"/>
    <w:rsid w:val="419E7A4C"/>
    <w:rsid w:val="422034E7"/>
    <w:rsid w:val="426A3C06"/>
    <w:rsid w:val="426F4017"/>
    <w:rsid w:val="438D13C5"/>
    <w:rsid w:val="44241CD7"/>
    <w:rsid w:val="442742D8"/>
    <w:rsid w:val="44676AFA"/>
    <w:rsid w:val="446F6C9C"/>
    <w:rsid w:val="44B66409"/>
    <w:rsid w:val="45680BAE"/>
    <w:rsid w:val="457277D5"/>
    <w:rsid w:val="45E85CE9"/>
    <w:rsid w:val="46D544C0"/>
    <w:rsid w:val="47F47107"/>
    <w:rsid w:val="48EC5ABB"/>
    <w:rsid w:val="49203136"/>
    <w:rsid w:val="49FB2F07"/>
    <w:rsid w:val="4A5A3051"/>
    <w:rsid w:val="4A5E657A"/>
    <w:rsid w:val="4B5F6A4E"/>
    <w:rsid w:val="4C16297D"/>
    <w:rsid w:val="4C3D15ED"/>
    <w:rsid w:val="4CA00035"/>
    <w:rsid w:val="4CC41C4C"/>
    <w:rsid w:val="4D7E1CD3"/>
    <w:rsid w:val="4DF84F0A"/>
    <w:rsid w:val="4DFA0CB0"/>
    <w:rsid w:val="4DFE254E"/>
    <w:rsid w:val="4E2E66ED"/>
    <w:rsid w:val="4ED708E6"/>
    <w:rsid w:val="4EF14EB0"/>
    <w:rsid w:val="4EF63225"/>
    <w:rsid w:val="4FFF25C4"/>
    <w:rsid w:val="506D3DCA"/>
    <w:rsid w:val="50B31D37"/>
    <w:rsid w:val="51807280"/>
    <w:rsid w:val="523B68B8"/>
    <w:rsid w:val="5244074B"/>
    <w:rsid w:val="524C082A"/>
    <w:rsid w:val="52B814BD"/>
    <w:rsid w:val="534053B7"/>
    <w:rsid w:val="53962548"/>
    <w:rsid w:val="53AD61F7"/>
    <w:rsid w:val="55F4336C"/>
    <w:rsid w:val="560E24E2"/>
    <w:rsid w:val="564839BD"/>
    <w:rsid w:val="5874599D"/>
    <w:rsid w:val="58FE3FD3"/>
    <w:rsid w:val="599F73C0"/>
    <w:rsid w:val="59A94439"/>
    <w:rsid w:val="5A643739"/>
    <w:rsid w:val="5A8738CB"/>
    <w:rsid w:val="5AEE04A2"/>
    <w:rsid w:val="5AF2343A"/>
    <w:rsid w:val="5BCC36DC"/>
    <w:rsid w:val="5C4B6B03"/>
    <w:rsid w:val="5D47454B"/>
    <w:rsid w:val="5D8E4C63"/>
    <w:rsid w:val="5E4D2736"/>
    <w:rsid w:val="5E5139F5"/>
    <w:rsid w:val="5EB87851"/>
    <w:rsid w:val="5EFC4888"/>
    <w:rsid w:val="5F4E3341"/>
    <w:rsid w:val="60250735"/>
    <w:rsid w:val="607C7F1A"/>
    <w:rsid w:val="60F905B4"/>
    <w:rsid w:val="612754C0"/>
    <w:rsid w:val="61503641"/>
    <w:rsid w:val="61924DCC"/>
    <w:rsid w:val="6231187C"/>
    <w:rsid w:val="62D97D14"/>
    <w:rsid w:val="62DC4D1B"/>
    <w:rsid w:val="63471D22"/>
    <w:rsid w:val="63C35930"/>
    <w:rsid w:val="63E13A47"/>
    <w:rsid w:val="647E2B41"/>
    <w:rsid w:val="64D462AF"/>
    <w:rsid w:val="65216151"/>
    <w:rsid w:val="65844F8D"/>
    <w:rsid w:val="6589514F"/>
    <w:rsid w:val="67155C33"/>
    <w:rsid w:val="67E763C9"/>
    <w:rsid w:val="681744E0"/>
    <w:rsid w:val="6853570F"/>
    <w:rsid w:val="688F22C8"/>
    <w:rsid w:val="68F34846"/>
    <w:rsid w:val="691F21D5"/>
    <w:rsid w:val="69AB1384"/>
    <w:rsid w:val="69AE723D"/>
    <w:rsid w:val="6A0B073A"/>
    <w:rsid w:val="6A333703"/>
    <w:rsid w:val="6A5C0800"/>
    <w:rsid w:val="6AB76205"/>
    <w:rsid w:val="6B480E55"/>
    <w:rsid w:val="6B783ACA"/>
    <w:rsid w:val="6BE321F3"/>
    <w:rsid w:val="6BEB2905"/>
    <w:rsid w:val="6C613F7C"/>
    <w:rsid w:val="6D0A6409"/>
    <w:rsid w:val="6D3520E9"/>
    <w:rsid w:val="6D413DAD"/>
    <w:rsid w:val="6D867D65"/>
    <w:rsid w:val="6E096679"/>
    <w:rsid w:val="6E1D598D"/>
    <w:rsid w:val="6E5770AB"/>
    <w:rsid w:val="6EE27ED6"/>
    <w:rsid w:val="6F285225"/>
    <w:rsid w:val="6F6F593A"/>
    <w:rsid w:val="7064403B"/>
    <w:rsid w:val="707E5225"/>
    <w:rsid w:val="71615B93"/>
    <w:rsid w:val="727E1BD2"/>
    <w:rsid w:val="736B20EA"/>
    <w:rsid w:val="739A6307"/>
    <w:rsid w:val="73F731C7"/>
    <w:rsid w:val="73FF59A6"/>
    <w:rsid w:val="74203FD3"/>
    <w:rsid w:val="7433066C"/>
    <w:rsid w:val="745B1903"/>
    <w:rsid w:val="761A0506"/>
    <w:rsid w:val="76BF010A"/>
    <w:rsid w:val="774E1408"/>
    <w:rsid w:val="77D05DF4"/>
    <w:rsid w:val="77F2017E"/>
    <w:rsid w:val="782347DB"/>
    <w:rsid w:val="786814A1"/>
    <w:rsid w:val="78884D24"/>
    <w:rsid w:val="7899684C"/>
    <w:rsid w:val="7A17211E"/>
    <w:rsid w:val="7B870E80"/>
    <w:rsid w:val="7B955A8D"/>
    <w:rsid w:val="7BB353EB"/>
    <w:rsid w:val="7C585349"/>
    <w:rsid w:val="7CCD6BFD"/>
    <w:rsid w:val="7D4D49B8"/>
    <w:rsid w:val="7E0E5C20"/>
    <w:rsid w:val="7E997AC0"/>
    <w:rsid w:val="7EE64A8C"/>
    <w:rsid w:val="7F195E74"/>
    <w:rsid w:val="7F5657F4"/>
    <w:rsid w:val="7FA77AA0"/>
    <w:rsid w:val="7FA92C5C"/>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7">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8">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9">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10">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3">
    <w:name w:val="Default Paragraph Font"/>
    <w:autoRedefine/>
    <w:semiHidden/>
    <w:qFormat/>
    <w:uiPriority w:val="0"/>
  </w:style>
  <w:style w:type="table" w:default="1" w:styleId="21">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autoSpaceDE/>
      <w:autoSpaceDN/>
      <w:adjustRightInd/>
      <w:ind w:left="0" w:leftChars="0" w:firstLine="420"/>
      <w:jc w:val="both"/>
      <w:textAlignment w:val="auto"/>
    </w:pPr>
    <w:rPr>
      <w:kern w:val="2"/>
      <w:sz w:val="21"/>
      <w:szCs w:val="24"/>
    </w:rPr>
  </w:style>
  <w:style w:type="paragraph" w:styleId="3">
    <w:name w:val="Body Text Indent"/>
    <w:basedOn w:val="1"/>
    <w:next w:val="2"/>
    <w:qFormat/>
    <w:uiPriority w:val="0"/>
    <w:pPr>
      <w:spacing w:after="120"/>
      <w:ind w:left="420" w:leftChars="200"/>
    </w:pPr>
  </w:style>
  <w:style w:type="paragraph" w:styleId="4">
    <w:name w:val="Body Text First Indent"/>
    <w:basedOn w:val="5"/>
    <w:next w:val="1"/>
    <w:semiHidden/>
    <w:unhideWhenUsed/>
    <w:qFormat/>
    <w:uiPriority w:val="99"/>
    <w:pPr>
      <w:ind w:firstLine="420" w:firstLineChars="100"/>
    </w:pPr>
  </w:style>
  <w:style w:type="paragraph" w:styleId="5">
    <w:name w:val="Body Text"/>
    <w:basedOn w:val="1"/>
    <w:next w:val="6"/>
    <w:autoRedefine/>
    <w:qFormat/>
    <w:uiPriority w:val="0"/>
    <w:pPr>
      <w:spacing w:after="120"/>
    </w:pPr>
  </w:style>
  <w:style w:type="paragraph" w:styleId="6">
    <w:name w:val="toc 3"/>
    <w:basedOn w:val="1"/>
    <w:next w:val="1"/>
    <w:autoRedefine/>
    <w:qFormat/>
    <w:uiPriority w:val="0"/>
    <w:pPr>
      <w:ind w:left="840" w:leftChars="400"/>
    </w:pPr>
  </w:style>
  <w:style w:type="paragraph" w:styleId="11">
    <w:name w:val="table of authorities"/>
    <w:basedOn w:val="1"/>
    <w:next w:val="1"/>
    <w:qFormat/>
    <w:uiPriority w:val="0"/>
    <w:pPr>
      <w:ind w:left="420" w:leftChars="200"/>
    </w:pPr>
  </w:style>
  <w:style w:type="paragraph" w:styleId="12">
    <w:name w:val="Document Map"/>
    <w:basedOn w:val="1"/>
    <w:autoRedefine/>
    <w:unhideWhenUsed/>
    <w:qFormat/>
    <w:uiPriority w:val="99"/>
    <w:rPr>
      <w:rFonts w:ascii="宋体" w:eastAsia="宋体"/>
      <w:sz w:val="18"/>
      <w:szCs w:val="18"/>
    </w:rPr>
  </w:style>
  <w:style w:type="paragraph" w:styleId="13">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14">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5">
    <w:name w:val="footer"/>
    <w:basedOn w:val="1"/>
    <w:autoRedefine/>
    <w:qFormat/>
    <w:uiPriority w:val="0"/>
    <w:pPr>
      <w:tabs>
        <w:tab w:val="center" w:pos="4153"/>
        <w:tab w:val="right" w:pos="8306"/>
      </w:tabs>
      <w:snapToGrid w:val="0"/>
      <w:jc w:val="left"/>
    </w:pPr>
    <w:rPr>
      <w:sz w:val="18"/>
    </w:rPr>
  </w:style>
  <w:style w:type="paragraph" w:styleId="1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toc 1"/>
    <w:basedOn w:val="1"/>
    <w:next w:val="1"/>
    <w:autoRedefine/>
    <w:qFormat/>
    <w:uiPriority w:val="0"/>
  </w:style>
  <w:style w:type="paragraph" w:styleId="18">
    <w:name w:val="toc 2"/>
    <w:basedOn w:val="1"/>
    <w:next w:val="1"/>
    <w:autoRedefine/>
    <w:qFormat/>
    <w:uiPriority w:val="0"/>
    <w:pPr>
      <w:ind w:left="420" w:leftChars="200"/>
    </w:pPr>
  </w:style>
  <w:style w:type="paragraph" w:styleId="19">
    <w:name w:val="Body Text 2"/>
    <w:basedOn w:val="1"/>
    <w:autoRedefine/>
    <w:qFormat/>
    <w:uiPriority w:val="0"/>
    <w:rPr>
      <w:rFonts w:ascii="宋体"/>
      <w:sz w:val="13"/>
      <w:szCs w:val="20"/>
    </w:rPr>
  </w:style>
  <w:style w:type="paragraph" w:styleId="20">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22">
    <w:name w:val="Table Grid"/>
    <w:basedOn w:val="21"/>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page number"/>
    <w:basedOn w:val="23"/>
    <w:autoRedefine/>
    <w:qFormat/>
    <w:uiPriority w:val="0"/>
  </w:style>
  <w:style w:type="paragraph" w:customStyle="1" w:styleId="25">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6">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7">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8">
    <w:name w:val="style4"/>
    <w:basedOn w:val="1"/>
    <w:next w:val="29"/>
    <w:autoRedefine/>
    <w:qFormat/>
    <w:uiPriority w:val="0"/>
    <w:pPr>
      <w:widowControl/>
      <w:spacing w:before="280" w:after="280"/>
    </w:pPr>
    <w:rPr>
      <w:rFonts w:ascii="宋体" w:eastAsia="宋体"/>
      <w:sz w:val="18"/>
    </w:rPr>
  </w:style>
  <w:style w:type="paragraph" w:customStyle="1" w:styleId="29">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30">
    <w:name w:val="Normal_1"/>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31">
    <w:name w:val="标题 3 Char"/>
    <w:qFormat/>
    <w:uiPriority w:val="9"/>
    <w:rPr>
      <w:rFonts w:eastAsia="宋体"/>
      <w:b/>
      <w:bCs/>
      <w:kern w:val="2"/>
      <w:sz w:val="32"/>
      <w:szCs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5748</Words>
  <Characters>5998</Characters>
  <Lines>0</Lines>
  <Paragraphs>0</Paragraphs>
  <TotalTime>1</TotalTime>
  <ScaleCrop>false</ScaleCrop>
  <LinksUpToDate>false</LinksUpToDate>
  <CharactersWithSpaces>7240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2024-11-07T01:44:08Z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FD4CC743FB6F4915B7160933D35F830B</vt:lpwstr>
  </property>
</Properties>
</file>