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7CE87E">
      <w:pPr>
        <w:tabs>
          <w:tab w:val="left" w:pos="4176"/>
        </w:tabs>
        <w:snapToGrid w:val="0"/>
        <w:spacing w:line="360" w:lineRule="auto"/>
        <w:rPr>
          <w:rFonts w:hint="eastAsia" w:ascii="华文楷体" w:hAnsi="华文楷体" w:eastAsia="华文楷体" w:cs="华文楷体"/>
          <w:b/>
          <w:bCs/>
          <w:color w:val="auto"/>
          <w:sz w:val="28"/>
          <w:szCs w:val="28"/>
          <w:highlight w:val="none"/>
          <w:lang w:val="en-US" w:eastAsia="zh-CN"/>
        </w:rPr>
      </w:pPr>
      <w:r>
        <w:rPr>
          <w:rFonts w:hint="eastAsia" w:ascii="华文楷体" w:hAnsi="华文楷体" w:eastAsia="华文楷体" w:cs="华文楷体"/>
          <w:b/>
          <w:bCs/>
          <w:color w:val="auto"/>
          <w:sz w:val="28"/>
          <w:szCs w:val="28"/>
          <w:highlight w:val="none"/>
          <w:lang w:val="en-US" w:eastAsia="zh-CN"/>
        </w:rPr>
        <w:t>附件4：安宁市第一人民医院疼痛科液氮储藏罐及二氧化碳培养箱购置项目评分标准</w:t>
      </w:r>
    </w:p>
    <w:p w14:paraId="75C4DC47">
      <w:pPr>
        <w:tabs>
          <w:tab w:val="left" w:pos="4176"/>
        </w:tabs>
        <w:snapToGrid w:val="0"/>
        <w:spacing w:line="360" w:lineRule="auto"/>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highlight w:val="none"/>
          <w:lang w:eastAsia="zh-CN"/>
          <w14:textFill>
            <w14:solidFill>
              <w14:schemeClr w14:val="tx1"/>
            </w14:solidFill>
          </w14:textFill>
        </w:rPr>
        <w:t>一、</w:t>
      </w:r>
      <w:r>
        <w:rPr>
          <w:rFonts w:hint="eastAsia" w:ascii="仿宋" w:hAnsi="仿宋" w:eastAsia="仿宋" w:cs="仿宋"/>
          <w:b/>
          <w:color w:val="000000" w:themeColor="text1"/>
          <w:sz w:val="24"/>
          <w:highlight w:val="none"/>
          <w14:textFill>
            <w14:solidFill>
              <w14:schemeClr w14:val="tx1"/>
            </w14:solidFill>
          </w14:textFill>
        </w:rPr>
        <w:t>价格部分评分办法（满分</w:t>
      </w:r>
      <w:r>
        <w:rPr>
          <w:rFonts w:hint="eastAsia" w:ascii="仿宋" w:hAnsi="仿宋" w:eastAsia="仿宋" w:cs="仿宋"/>
          <w:b/>
          <w:color w:val="000000" w:themeColor="text1"/>
          <w:sz w:val="24"/>
          <w:highlight w:val="none"/>
          <w:lang w:val="en-US" w:eastAsia="zh-CN"/>
          <w14:textFill>
            <w14:solidFill>
              <w14:schemeClr w14:val="tx1"/>
            </w14:solidFill>
          </w14:textFill>
        </w:rPr>
        <w:t>30</w:t>
      </w:r>
      <w:r>
        <w:rPr>
          <w:rFonts w:hint="eastAsia" w:ascii="仿宋" w:hAnsi="仿宋" w:eastAsia="仿宋" w:cs="仿宋"/>
          <w:b/>
          <w:color w:val="000000" w:themeColor="text1"/>
          <w:sz w:val="24"/>
          <w:highlight w:val="none"/>
          <w14:textFill>
            <w14:solidFill>
              <w14:schemeClr w14:val="tx1"/>
            </w14:solidFill>
          </w14:textFill>
        </w:rPr>
        <w:t>分）</w:t>
      </w:r>
      <w:r>
        <w:rPr>
          <w:rFonts w:hint="eastAsia" w:ascii="仿宋" w:hAnsi="仿宋" w:eastAsia="仿宋" w:cs="仿宋"/>
          <w:b/>
          <w:color w:val="000000" w:themeColor="text1"/>
          <w:sz w:val="24"/>
          <w:highlight w:val="none"/>
          <w14:textFill>
            <w14:solidFill>
              <w14:schemeClr w14:val="tx1"/>
            </w14:solidFill>
          </w14:textFill>
        </w:rPr>
        <w:tab/>
      </w:r>
    </w:p>
    <w:p w14:paraId="4DDFB257">
      <w:pPr>
        <w:snapToGrid w:val="0"/>
        <w:spacing w:line="360" w:lineRule="auto"/>
        <w:ind w:firstLine="480" w:firstLineChars="200"/>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1、</w:t>
      </w:r>
      <w:bookmarkStart w:id="0" w:name="_GoBack"/>
      <w:bookmarkEnd w:id="0"/>
      <w:r>
        <w:rPr>
          <w:rFonts w:hint="eastAsia" w:ascii="仿宋" w:hAnsi="仿宋" w:eastAsia="仿宋" w:cs="仿宋"/>
          <w:color w:val="000000" w:themeColor="text1"/>
          <w:sz w:val="24"/>
          <w:highlight w:val="none"/>
          <w14:textFill>
            <w14:solidFill>
              <w14:schemeClr w14:val="tx1"/>
            </w14:solidFill>
          </w14:textFill>
        </w:rPr>
        <w:t>采用低价优先法计算，即通过本项目符合性审查且投标价格最低的</w:t>
      </w:r>
      <w:r>
        <w:rPr>
          <w:rFonts w:hint="eastAsia" w:ascii="仿宋" w:hAnsi="仿宋" w:eastAsia="仿宋" w:cs="仿宋"/>
          <w:color w:val="000000" w:themeColor="text1"/>
          <w:sz w:val="24"/>
          <w:highlight w:val="none"/>
          <w:lang w:eastAsia="zh-CN"/>
          <w14:textFill>
            <w14:solidFill>
              <w14:schemeClr w14:val="tx1"/>
            </w14:solidFill>
          </w14:textFill>
        </w:rPr>
        <w:t>谈判报价</w:t>
      </w:r>
      <w:r>
        <w:rPr>
          <w:rFonts w:hint="eastAsia" w:ascii="仿宋" w:hAnsi="仿宋" w:eastAsia="仿宋" w:cs="仿宋"/>
          <w:color w:val="000000" w:themeColor="text1"/>
          <w:sz w:val="24"/>
          <w:highlight w:val="none"/>
          <w14:textFill>
            <w14:solidFill>
              <w14:schemeClr w14:val="tx1"/>
            </w14:solidFill>
          </w14:textFill>
        </w:rPr>
        <w:t>为评标基准价，其价格分为满分即</w:t>
      </w:r>
      <w:r>
        <w:rPr>
          <w:rFonts w:hint="eastAsia" w:ascii="仿宋" w:hAnsi="仿宋" w:eastAsia="仿宋" w:cs="仿宋"/>
          <w:color w:val="000000" w:themeColor="text1"/>
          <w:sz w:val="24"/>
          <w:highlight w:val="none"/>
          <w:lang w:val="en-US" w:eastAsia="zh-CN"/>
          <w14:textFill>
            <w14:solidFill>
              <w14:schemeClr w14:val="tx1"/>
            </w14:solidFill>
          </w14:textFill>
        </w:rPr>
        <w:t>30</w:t>
      </w:r>
      <w:r>
        <w:rPr>
          <w:rFonts w:hint="eastAsia" w:ascii="仿宋" w:hAnsi="仿宋" w:eastAsia="仿宋" w:cs="仿宋"/>
          <w:color w:val="000000" w:themeColor="text1"/>
          <w:sz w:val="24"/>
          <w:highlight w:val="none"/>
          <w14:textFill>
            <w14:solidFill>
              <w14:schemeClr w14:val="tx1"/>
            </w14:solidFill>
          </w14:textFill>
        </w:rPr>
        <w:t>分。其他</w:t>
      </w:r>
      <w:r>
        <w:rPr>
          <w:rFonts w:hint="eastAsia" w:ascii="仿宋" w:hAnsi="仿宋" w:eastAsia="仿宋" w:cs="仿宋"/>
          <w:color w:val="000000" w:themeColor="text1"/>
          <w:sz w:val="24"/>
          <w:highlight w:val="none"/>
          <w:lang w:eastAsia="zh-CN"/>
          <w14:textFill>
            <w14:solidFill>
              <w14:schemeClr w14:val="tx1"/>
            </w14:solidFill>
          </w14:textFill>
        </w:rPr>
        <w:t>谈判</w:t>
      </w:r>
      <w:r>
        <w:rPr>
          <w:rFonts w:hint="eastAsia" w:ascii="仿宋" w:hAnsi="仿宋" w:eastAsia="仿宋" w:cs="仿宋"/>
          <w:color w:val="000000" w:themeColor="text1"/>
          <w:sz w:val="24"/>
          <w:highlight w:val="none"/>
          <w:lang w:val="en-US" w:eastAsia="zh-CN"/>
          <w14:textFill>
            <w14:solidFill>
              <w14:schemeClr w14:val="tx1"/>
            </w14:solidFill>
          </w14:textFill>
        </w:rPr>
        <w:t>申请人的价格分统一按照下列公式计算：</w:t>
      </w:r>
    </w:p>
    <w:p w14:paraId="6AB61586">
      <w:pPr>
        <w:snapToGrid w:val="0"/>
        <w:spacing w:line="360" w:lineRule="auto"/>
        <w:ind w:firstLine="480" w:firstLineChars="200"/>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谈判报价得分=（评标基准价／最终谈判报价)×30；</w:t>
      </w:r>
    </w:p>
    <w:p w14:paraId="34DB7885">
      <w:pPr>
        <w:snapToGrid w:val="0"/>
        <w:spacing w:line="360" w:lineRule="auto"/>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lang w:eastAsia="zh-CN"/>
          <w14:textFill>
            <w14:solidFill>
              <w14:schemeClr w14:val="tx1"/>
            </w14:solidFill>
          </w14:textFill>
        </w:rPr>
        <w:t>二、</w:t>
      </w:r>
      <w:r>
        <w:rPr>
          <w:rFonts w:hint="eastAsia" w:ascii="仿宋" w:hAnsi="仿宋" w:eastAsia="仿宋" w:cs="仿宋"/>
          <w:b/>
          <w:color w:val="000000" w:themeColor="text1"/>
          <w:sz w:val="24"/>
          <w:highlight w:val="none"/>
          <w14:textFill>
            <w14:solidFill>
              <w14:schemeClr w14:val="tx1"/>
            </w14:solidFill>
          </w14:textFill>
        </w:rPr>
        <w:t>技术部分评分办法（满分</w:t>
      </w:r>
      <w:r>
        <w:rPr>
          <w:rFonts w:hint="eastAsia" w:ascii="仿宋" w:hAnsi="仿宋" w:eastAsia="仿宋" w:cs="仿宋"/>
          <w:b/>
          <w:color w:val="000000" w:themeColor="text1"/>
          <w:sz w:val="24"/>
          <w:highlight w:val="none"/>
          <w:lang w:val="en-US" w:eastAsia="zh-CN"/>
          <w14:textFill>
            <w14:solidFill>
              <w14:schemeClr w14:val="tx1"/>
            </w14:solidFill>
          </w14:textFill>
        </w:rPr>
        <w:t>40</w:t>
      </w:r>
      <w:r>
        <w:rPr>
          <w:rFonts w:hint="eastAsia" w:ascii="仿宋" w:hAnsi="仿宋" w:eastAsia="仿宋" w:cs="仿宋"/>
          <w:b/>
          <w:color w:val="000000" w:themeColor="text1"/>
          <w:sz w:val="24"/>
          <w:highlight w:val="none"/>
          <w14:textFill>
            <w14:solidFill>
              <w14:schemeClr w14:val="tx1"/>
            </w14:solidFill>
          </w14:textFill>
        </w:rPr>
        <w:t>分）</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6"/>
        <w:gridCol w:w="1417"/>
        <w:gridCol w:w="7372"/>
      </w:tblGrid>
      <w:tr w14:paraId="2E71B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61"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3E4B0F45">
            <w:pPr>
              <w:spacing w:line="360" w:lineRule="auto"/>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条款号</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337AD55A">
            <w:pPr>
              <w:spacing w:line="360" w:lineRule="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评分项目</w:t>
            </w:r>
          </w:p>
        </w:tc>
        <w:tc>
          <w:tcPr>
            <w:tcW w:w="7372" w:type="dxa"/>
            <w:tcBorders>
              <w:top w:val="single" w:color="auto" w:sz="4" w:space="0"/>
              <w:left w:val="single" w:color="auto" w:sz="4" w:space="0"/>
              <w:bottom w:val="single" w:color="auto" w:sz="4" w:space="0"/>
              <w:right w:val="single" w:color="auto" w:sz="4" w:space="0"/>
            </w:tcBorders>
            <w:noWrap w:val="0"/>
            <w:vAlign w:val="center"/>
          </w:tcPr>
          <w:p w14:paraId="0FEFD592">
            <w:pPr>
              <w:spacing w:line="360" w:lineRule="auto"/>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评分标准</w:t>
            </w:r>
          </w:p>
        </w:tc>
      </w:tr>
      <w:tr w14:paraId="0DC51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0B86E39B">
            <w:pPr>
              <w:spacing w:line="360" w:lineRule="auto"/>
              <w:jc w:val="center"/>
              <w:rPr>
                <w:rFonts w:hint="eastAsia" w:ascii="仿宋" w:hAnsi="仿宋" w:eastAsia="仿宋" w:cs="仿宋"/>
                <w:b w:val="0"/>
                <w:bCs w:val="0"/>
                <w:color w:val="000000" w:themeColor="text1"/>
                <w:sz w:val="24"/>
                <w:szCs w:val="24"/>
                <w:highlight w:val="none"/>
                <w14:textFill>
                  <w14:solidFill>
                    <w14:schemeClr w14:val="tx1"/>
                  </w14:solidFill>
                </w14:textFill>
              </w:rPr>
            </w:pPr>
            <w:r>
              <w:rPr>
                <w:rFonts w:hint="eastAsia" w:ascii="仿宋" w:hAnsi="仿宋" w:eastAsia="仿宋" w:cs="仿宋"/>
                <w:b w:val="0"/>
                <w:bCs w:val="0"/>
                <w:color w:val="000000" w:themeColor="text1"/>
                <w:sz w:val="24"/>
                <w:szCs w:val="24"/>
                <w:highlight w:val="none"/>
                <w14:textFill>
                  <w14:solidFill>
                    <w14:schemeClr w14:val="tx1"/>
                  </w14:solidFill>
                </w14:textFill>
              </w:rPr>
              <w:t>1</w:t>
            </w:r>
          </w:p>
        </w:tc>
        <w:tc>
          <w:tcPr>
            <w:tcW w:w="1417" w:type="dxa"/>
            <w:tcBorders>
              <w:top w:val="single" w:color="auto" w:sz="4" w:space="0"/>
              <w:left w:val="single" w:color="auto" w:sz="4" w:space="0"/>
              <w:right w:val="single" w:color="auto" w:sz="4" w:space="0"/>
            </w:tcBorders>
            <w:noWrap w:val="0"/>
            <w:vAlign w:val="center"/>
          </w:tcPr>
          <w:p w14:paraId="293F6497">
            <w:pPr>
              <w:spacing w:line="360" w:lineRule="auto"/>
              <w:jc w:val="center"/>
              <w:rPr>
                <w:rFonts w:hint="eastAsia" w:ascii="仿宋" w:hAnsi="仿宋" w:eastAsia="仿宋" w:cs="仿宋"/>
                <w:b w:val="0"/>
                <w:bCs w:val="0"/>
                <w:color w:val="000000" w:themeColor="text1"/>
                <w:sz w:val="24"/>
                <w:szCs w:val="24"/>
                <w:highlight w:val="none"/>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技术参数评审</w:t>
            </w:r>
            <w:r>
              <w:rPr>
                <w:rFonts w:hint="eastAsia" w:ascii="仿宋" w:hAnsi="仿宋" w:eastAsia="仿宋" w:cs="仿宋"/>
                <w:b w:val="0"/>
                <w:bCs w:val="0"/>
                <w:color w:val="000000" w:themeColor="text1"/>
                <w:sz w:val="24"/>
                <w:szCs w:val="24"/>
                <w:highlight w:val="none"/>
                <w14:textFill>
                  <w14:solidFill>
                    <w14:schemeClr w14:val="tx1"/>
                  </w14:solidFill>
                </w14:textFill>
              </w:rPr>
              <w:t>（</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40</w:t>
            </w:r>
            <w:r>
              <w:rPr>
                <w:rFonts w:hint="eastAsia" w:ascii="仿宋" w:hAnsi="仿宋" w:eastAsia="仿宋" w:cs="仿宋"/>
                <w:b w:val="0"/>
                <w:bCs w:val="0"/>
                <w:color w:val="000000" w:themeColor="text1"/>
                <w:sz w:val="24"/>
                <w:szCs w:val="24"/>
                <w:highlight w:val="none"/>
                <w14:textFill>
                  <w14:solidFill>
                    <w14:schemeClr w14:val="tx1"/>
                  </w14:solidFill>
                </w14:textFill>
              </w:rPr>
              <w:t>分）</w:t>
            </w:r>
          </w:p>
        </w:tc>
        <w:tc>
          <w:tcPr>
            <w:tcW w:w="7372" w:type="dxa"/>
            <w:tcBorders>
              <w:top w:val="single" w:color="auto" w:sz="4" w:space="0"/>
              <w:left w:val="single" w:color="auto" w:sz="4" w:space="0"/>
              <w:right w:val="single" w:color="auto" w:sz="4" w:space="0"/>
            </w:tcBorders>
            <w:noWrap w:val="0"/>
            <w:vAlign w:val="center"/>
          </w:tcPr>
          <w:p w14:paraId="286EC46D">
            <w:pPr>
              <w:spacing w:line="360" w:lineRule="auto"/>
              <w:rPr>
                <w:rFonts w:hint="eastAsia" w:ascii="仿宋" w:hAnsi="仿宋" w:eastAsia="仿宋" w:cs="仿宋"/>
                <w:b w:val="0"/>
                <w:bCs w:val="0"/>
                <w:color w:val="000000" w:themeColor="text1"/>
                <w:sz w:val="24"/>
                <w:szCs w:val="24"/>
                <w:highlight w:val="none"/>
                <w14:textFill>
                  <w14:solidFill>
                    <w14:schemeClr w14:val="tx1"/>
                  </w14:solidFill>
                </w14:textFill>
              </w:rPr>
            </w:pPr>
            <w:r>
              <w:rPr>
                <w:rFonts w:hint="eastAsia" w:ascii="仿宋" w:hAnsi="仿宋" w:eastAsia="仿宋" w:cs="仿宋"/>
                <w:b w:val="0"/>
                <w:bCs w:val="0"/>
                <w:color w:val="000000" w:themeColor="text1"/>
                <w:sz w:val="24"/>
                <w:szCs w:val="24"/>
                <w:highlight w:val="none"/>
                <w14:textFill>
                  <w14:solidFill>
                    <w14:schemeClr w14:val="tx1"/>
                  </w14:solidFill>
                </w14:textFill>
              </w:rPr>
              <w:t>（1）所投设备主要技术参数、重要性能指标以及主要部件的结构、选材完全满足</w:t>
            </w:r>
            <w:r>
              <w:rPr>
                <w:rFonts w:hint="eastAsia" w:ascii="仿宋" w:hAnsi="仿宋" w:eastAsia="仿宋" w:cs="仿宋"/>
                <w:b w:val="0"/>
                <w:bCs w:val="0"/>
                <w:color w:val="000000" w:themeColor="text1"/>
                <w:sz w:val="24"/>
                <w:szCs w:val="24"/>
                <w:highlight w:val="none"/>
                <w:lang w:eastAsia="zh-CN"/>
                <w14:textFill>
                  <w14:solidFill>
                    <w14:schemeClr w14:val="tx1"/>
                  </w14:solidFill>
                </w14:textFill>
              </w:rPr>
              <w:t>采购需求</w:t>
            </w:r>
            <w:r>
              <w:rPr>
                <w:rFonts w:hint="eastAsia" w:ascii="仿宋" w:hAnsi="仿宋" w:eastAsia="仿宋" w:cs="仿宋"/>
                <w:b w:val="0"/>
                <w:bCs w:val="0"/>
                <w:color w:val="000000" w:themeColor="text1"/>
                <w:sz w:val="24"/>
                <w:szCs w:val="24"/>
                <w:highlight w:val="none"/>
                <w14:textFill>
                  <w14:solidFill>
                    <w14:schemeClr w14:val="tx1"/>
                  </w14:solidFill>
                </w14:textFill>
              </w:rPr>
              <w:t>的，得基准</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40</w:t>
            </w:r>
            <w:r>
              <w:rPr>
                <w:rFonts w:hint="eastAsia" w:ascii="仿宋" w:hAnsi="仿宋" w:eastAsia="仿宋" w:cs="仿宋"/>
                <w:b w:val="0"/>
                <w:bCs w:val="0"/>
                <w:color w:val="000000" w:themeColor="text1"/>
                <w:sz w:val="24"/>
                <w:szCs w:val="24"/>
                <w:highlight w:val="none"/>
                <w14:textFill>
                  <w14:solidFill>
                    <w14:schemeClr w14:val="tx1"/>
                  </w14:solidFill>
                </w14:textFill>
              </w:rPr>
              <w:t>分；</w:t>
            </w:r>
          </w:p>
          <w:p w14:paraId="5337BD97">
            <w:pPr>
              <w:spacing w:line="360" w:lineRule="auto"/>
              <w:rPr>
                <w:rFonts w:hint="eastAsia" w:ascii="仿宋" w:hAnsi="仿宋" w:eastAsia="仿宋" w:cs="仿宋"/>
                <w:b w:val="0"/>
                <w:bCs w:val="0"/>
                <w:color w:val="000000" w:themeColor="text1"/>
                <w:sz w:val="24"/>
                <w:szCs w:val="24"/>
                <w:highlight w:val="none"/>
                <w14:textFill>
                  <w14:solidFill>
                    <w14:schemeClr w14:val="tx1"/>
                  </w14:solidFill>
                </w14:textFill>
              </w:rPr>
            </w:pPr>
            <w:r>
              <w:rPr>
                <w:rFonts w:hint="eastAsia" w:ascii="仿宋" w:hAnsi="仿宋" w:eastAsia="仿宋" w:cs="仿宋"/>
                <w:b w:val="0"/>
                <w:bCs w:val="0"/>
                <w:color w:val="000000" w:themeColor="text1"/>
                <w:sz w:val="24"/>
                <w:szCs w:val="24"/>
                <w:highlight w:val="none"/>
                <w14:textFill>
                  <w14:solidFill>
                    <w14:schemeClr w14:val="tx1"/>
                  </w14:solidFill>
                </w14:textFill>
              </w:rPr>
              <w:t>（2）所投产品技术参数有负偏离或漏项的每项扣</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5</w:t>
            </w:r>
            <w:r>
              <w:rPr>
                <w:rFonts w:hint="eastAsia" w:ascii="仿宋" w:hAnsi="仿宋" w:eastAsia="仿宋" w:cs="仿宋"/>
                <w:b w:val="0"/>
                <w:bCs w:val="0"/>
                <w:color w:val="000000" w:themeColor="text1"/>
                <w:sz w:val="24"/>
                <w:szCs w:val="24"/>
                <w:highlight w:val="none"/>
                <w14:textFill>
                  <w14:solidFill>
                    <w14:schemeClr w14:val="tx1"/>
                  </w14:solidFill>
                </w14:textFill>
              </w:rPr>
              <w:t>分，扣完为止。</w:t>
            </w:r>
          </w:p>
          <w:p w14:paraId="3DF9A23E">
            <w:pPr>
              <w:spacing w:line="360" w:lineRule="auto"/>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14:textFill>
                  <w14:solidFill>
                    <w14:schemeClr w14:val="tx1"/>
                  </w14:solidFill>
                </w14:textFill>
              </w:rPr>
              <w:t>（</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3</w:t>
            </w:r>
            <w:r>
              <w:rPr>
                <w:rFonts w:hint="eastAsia" w:ascii="仿宋" w:hAnsi="仿宋" w:eastAsia="仿宋" w:cs="仿宋"/>
                <w:b w:val="0"/>
                <w:bCs w:val="0"/>
                <w:color w:val="000000" w:themeColor="text1"/>
                <w:sz w:val="24"/>
                <w:szCs w:val="24"/>
                <w:highlight w:val="none"/>
                <w14:textFill>
                  <w14:solidFill>
                    <w14:schemeClr w14:val="tx1"/>
                  </w14:solidFill>
                </w14:textFill>
              </w:rPr>
              <w:t>）</w:t>
            </w:r>
            <w:r>
              <w:rPr>
                <w:rFonts w:hint="eastAsia" w:ascii="仿宋" w:hAnsi="仿宋" w:eastAsia="仿宋" w:cs="仿宋"/>
                <w:b w:val="0"/>
                <w:bCs w:val="0"/>
                <w:color w:val="000000" w:themeColor="text1"/>
                <w:sz w:val="24"/>
                <w:szCs w:val="24"/>
                <w:highlight w:val="none"/>
                <w:lang w:eastAsia="zh-CN"/>
                <w14:textFill>
                  <w14:solidFill>
                    <w14:schemeClr w14:val="tx1"/>
                  </w14:solidFill>
                </w14:textFill>
              </w:rPr>
              <w:t>需提供产品</w:t>
            </w:r>
            <w:r>
              <w:rPr>
                <w:rFonts w:hint="eastAsia" w:ascii="仿宋" w:hAnsi="仿宋" w:eastAsia="仿宋" w:cs="仿宋"/>
                <w:b w:val="0"/>
                <w:bCs w:val="0"/>
                <w:color w:val="000000" w:themeColor="text1"/>
                <w:sz w:val="24"/>
                <w:szCs w:val="24"/>
                <w:highlight w:val="none"/>
                <w14:textFill>
                  <w14:solidFill>
                    <w14:schemeClr w14:val="tx1"/>
                  </w14:solidFill>
                </w14:textFill>
              </w:rPr>
              <w:t>技术参数资料（包括</w:t>
            </w:r>
            <w:r>
              <w:rPr>
                <w:rFonts w:hint="eastAsia" w:ascii="仿宋" w:hAnsi="仿宋" w:eastAsia="仿宋" w:cs="仿宋"/>
                <w:b w:val="0"/>
                <w:bCs w:val="0"/>
                <w:color w:val="000000" w:themeColor="text1"/>
                <w:sz w:val="24"/>
                <w:szCs w:val="24"/>
                <w:highlight w:val="none"/>
                <w:lang w:eastAsia="zh-CN"/>
                <w14:textFill>
                  <w14:solidFill>
                    <w14:schemeClr w14:val="tx1"/>
                  </w14:solidFill>
                </w14:textFill>
              </w:rPr>
              <w:t>产品说明书、技术资料彩页、</w:t>
            </w:r>
            <w:r>
              <w:rPr>
                <w:rFonts w:hint="eastAsia" w:ascii="仿宋" w:hAnsi="仿宋" w:eastAsia="仿宋" w:cs="仿宋"/>
                <w:b w:val="0"/>
                <w:bCs w:val="0"/>
                <w:color w:val="000000" w:themeColor="text1"/>
                <w:sz w:val="24"/>
                <w:szCs w:val="24"/>
                <w:highlight w:val="none"/>
                <w14:textFill>
                  <w14:solidFill>
                    <w14:schemeClr w14:val="tx1"/>
                  </w14:solidFill>
                </w14:textFill>
              </w:rPr>
              <w:t>检验报告、认证证书等</w:t>
            </w:r>
            <w:r>
              <w:rPr>
                <w:rFonts w:hint="eastAsia" w:ascii="仿宋" w:hAnsi="仿宋" w:eastAsia="仿宋" w:cs="仿宋"/>
                <w:b w:val="0"/>
                <w:bCs w:val="0"/>
                <w:color w:val="000000" w:themeColor="text1"/>
                <w:sz w:val="24"/>
                <w:szCs w:val="24"/>
                <w:highlight w:val="none"/>
                <w:lang w:eastAsia="zh-CN"/>
                <w14:textFill>
                  <w14:solidFill>
                    <w14:schemeClr w14:val="tx1"/>
                  </w14:solidFill>
                </w14:textFill>
              </w:rPr>
              <w:t>）。</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特别说明：如只在</w:t>
            </w:r>
            <w:r>
              <w:rPr>
                <w:rFonts w:hint="eastAsia" w:ascii="仿宋" w:hAnsi="仿宋" w:eastAsia="仿宋" w:cs="仿宋"/>
                <w:b w:val="0"/>
                <w:bCs w:val="0"/>
                <w:color w:val="000000" w:themeColor="text1"/>
                <w:sz w:val="24"/>
                <w:szCs w:val="24"/>
                <w:highlight w:val="none"/>
                <w:lang w:val="zh-CN" w:eastAsia="zh-CN"/>
                <w14:textFill>
                  <w14:solidFill>
                    <w14:schemeClr w14:val="tx1"/>
                  </w14:solidFill>
                </w14:textFill>
              </w:rPr>
              <w:t>项目采购需求偏离表标注为无偏离或正偏离，但未提供或未提供清晰、可辨认的：产品技术资料、产品说明书、检测报告等技术资料，导致评审专家无法查证产品能否满足医院采购需求的，视为未实质性响应。</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 xml:space="preserve"> </w:t>
            </w:r>
          </w:p>
          <w:p w14:paraId="6D580A1A">
            <w:pPr>
              <w:spacing w:line="360" w:lineRule="auto"/>
              <w:rPr>
                <w:rFonts w:hint="eastAsia" w:ascii="仿宋" w:hAnsi="仿宋" w:eastAsia="仿宋" w:cs="仿宋"/>
                <w:b w:val="0"/>
                <w:bCs w:val="0"/>
                <w:color w:val="000000" w:themeColor="text1"/>
                <w:sz w:val="24"/>
                <w:szCs w:val="24"/>
                <w:highlight w:val="none"/>
                <w14:textFill>
                  <w14:solidFill>
                    <w14:schemeClr w14:val="tx1"/>
                  </w14:solidFill>
                </w14:textFill>
              </w:rPr>
            </w:pPr>
            <w:r>
              <w:rPr>
                <w:rFonts w:hint="eastAsia" w:ascii="仿宋" w:hAnsi="仿宋" w:eastAsia="仿宋" w:cs="仿宋"/>
                <w:b w:val="0"/>
                <w:bCs w:val="0"/>
                <w:color w:val="000000" w:themeColor="text1"/>
                <w:sz w:val="24"/>
                <w:szCs w:val="24"/>
                <w:highlight w:val="none"/>
                <w14:textFill>
                  <w14:solidFill>
                    <w14:schemeClr w14:val="tx1"/>
                  </w14:solidFill>
                </w14:textFill>
              </w:rPr>
              <w:t>（</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4</w:t>
            </w:r>
            <w:r>
              <w:rPr>
                <w:rFonts w:hint="eastAsia" w:ascii="仿宋" w:hAnsi="仿宋" w:eastAsia="仿宋" w:cs="仿宋"/>
                <w:b w:val="0"/>
                <w:bCs w:val="0"/>
                <w:color w:val="000000" w:themeColor="text1"/>
                <w:sz w:val="24"/>
                <w:szCs w:val="24"/>
                <w:highlight w:val="none"/>
                <w14:textFill>
                  <w14:solidFill>
                    <w14:schemeClr w14:val="tx1"/>
                  </w14:solidFill>
                </w14:textFill>
              </w:rPr>
              <w:t>）若有重大偏差由</w:t>
            </w:r>
            <w:r>
              <w:rPr>
                <w:rFonts w:hint="eastAsia" w:ascii="仿宋" w:hAnsi="仿宋" w:eastAsia="仿宋" w:cs="仿宋"/>
                <w:b w:val="0"/>
                <w:bCs w:val="0"/>
                <w:color w:val="000000" w:themeColor="text1"/>
                <w:sz w:val="24"/>
                <w:szCs w:val="24"/>
                <w:highlight w:val="none"/>
                <w:lang w:eastAsia="zh-CN"/>
                <w14:textFill>
                  <w14:solidFill>
                    <w14:schemeClr w14:val="tx1"/>
                  </w14:solidFill>
                </w14:textFill>
              </w:rPr>
              <w:t>谈判小组</w:t>
            </w:r>
            <w:r>
              <w:rPr>
                <w:rFonts w:hint="eastAsia" w:ascii="仿宋" w:hAnsi="仿宋" w:eastAsia="仿宋" w:cs="仿宋"/>
                <w:b w:val="0"/>
                <w:bCs w:val="0"/>
                <w:color w:val="000000" w:themeColor="text1"/>
                <w:sz w:val="24"/>
                <w:szCs w:val="24"/>
                <w:highlight w:val="none"/>
                <w14:textFill>
                  <w14:solidFill>
                    <w14:schemeClr w14:val="tx1"/>
                  </w14:solidFill>
                </w14:textFill>
              </w:rPr>
              <w:t>决定是否接受其投标。</w:t>
            </w:r>
          </w:p>
        </w:tc>
      </w:tr>
    </w:tbl>
    <w:p w14:paraId="1BF5117C">
      <w:pPr>
        <w:spacing w:line="360" w:lineRule="auto"/>
        <w:rPr>
          <w:rFonts w:hint="eastAsia" w:ascii="仿宋" w:hAnsi="仿宋" w:eastAsia="仿宋" w:cs="仿宋"/>
          <w:b w:val="0"/>
          <w:bCs w:val="0"/>
          <w:color w:val="000000" w:themeColor="text1"/>
          <w:kern w:val="2"/>
          <w:sz w:val="24"/>
          <w:highlight w:val="none"/>
          <w14:textFill>
            <w14:solidFill>
              <w14:schemeClr w14:val="tx1"/>
            </w14:solidFill>
          </w14:textFill>
        </w:rPr>
      </w:pPr>
      <w:r>
        <w:rPr>
          <w:rFonts w:hint="eastAsia" w:ascii="仿宋" w:hAnsi="仿宋" w:eastAsia="仿宋" w:cs="仿宋"/>
          <w:b/>
          <w:bCs/>
          <w:color w:val="000000" w:themeColor="text1"/>
          <w:sz w:val="24"/>
          <w:highlight w:val="none"/>
          <w:lang w:eastAsia="zh-CN"/>
          <w14:textFill>
            <w14:solidFill>
              <w14:schemeClr w14:val="tx1"/>
            </w14:solidFill>
          </w14:textFill>
        </w:rPr>
        <w:t>三、</w:t>
      </w:r>
      <w:r>
        <w:rPr>
          <w:rFonts w:hint="eastAsia" w:ascii="仿宋" w:hAnsi="仿宋" w:eastAsia="仿宋" w:cs="仿宋"/>
          <w:b/>
          <w:bCs/>
          <w:color w:val="000000" w:themeColor="text1"/>
          <w:sz w:val="24"/>
          <w:highlight w:val="none"/>
          <w14:textFill>
            <w14:solidFill>
              <w14:schemeClr w14:val="tx1"/>
            </w14:solidFill>
          </w14:textFill>
        </w:rPr>
        <w:t>商务部分：（满分</w:t>
      </w:r>
      <w:r>
        <w:rPr>
          <w:rFonts w:hint="eastAsia" w:ascii="仿宋" w:hAnsi="仿宋" w:eastAsia="仿宋" w:cs="仿宋"/>
          <w:b/>
          <w:bCs/>
          <w:color w:val="000000" w:themeColor="text1"/>
          <w:sz w:val="24"/>
          <w:highlight w:val="none"/>
          <w:lang w:val="en-US" w:eastAsia="zh-CN"/>
          <w14:textFill>
            <w14:solidFill>
              <w14:schemeClr w14:val="tx1"/>
            </w14:solidFill>
          </w14:textFill>
        </w:rPr>
        <w:t>30</w:t>
      </w:r>
      <w:r>
        <w:rPr>
          <w:rFonts w:hint="eastAsia" w:ascii="仿宋" w:hAnsi="仿宋" w:eastAsia="仿宋" w:cs="仿宋"/>
          <w:b/>
          <w:bCs/>
          <w:color w:val="000000" w:themeColor="text1"/>
          <w:sz w:val="24"/>
          <w:highlight w:val="none"/>
          <w14:textFill>
            <w14:solidFill>
              <w14:schemeClr w14:val="tx1"/>
            </w14:solidFill>
          </w14:textFill>
        </w:rPr>
        <w:t>分）</w:t>
      </w:r>
    </w:p>
    <w:tbl>
      <w:tblPr>
        <w:tblStyle w:val="5"/>
        <w:tblW w:w="98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9"/>
        <w:gridCol w:w="1424"/>
        <w:gridCol w:w="7372"/>
      </w:tblGrid>
      <w:tr w14:paraId="6C7ED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25" w:hRule="atLeast"/>
          <w:jc w:val="center"/>
        </w:trPr>
        <w:tc>
          <w:tcPr>
            <w:tcW w:w="1029" w:type="dxa"/>
            <w:tcBorders>
              <w:top w:val="single" w:color="auto" w:sz="4" w:space="0"/>
              <w:left w:val="single" w:color="auto" w:sz="4" w:space="0"/>
              <w:bottom w:val="single" w:color="auto" w:sz="4" w:space="0"/>
              <w:right w:val="single" w:color="auto" w:sz="4" w:space="0"/>
            </w:tcBorders>
            <w:noWrap w:val="0"/>
            <w:vAlign w:val="center"/>
          </w:tcPr>
          <w:p w14:paraId="0DA14F5B">
            <w:pPr>
              <w:spacing w:line="360" w:lineRule="auto"/>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条款号</w:t>
            </w:r>
          </w:p>
        </w:tc>
        <w:tc>
          <w:tcPr>
            <w:tcW w:w="1424" w:type="dxa"/>
            <w:tcBorders>
              <w:top w:val="single" w:color="auto" w:sz="4" w:space="0"/>
              <w:left w:val="single" w:color="auto" w:sz="4" w:space="0"/>
              <w:bottom w:val="single" w:color="auto" w:sz="4" w:space="0"/>
              <w:right w:val="single" w:color="auto" w:sz="4" w:space="0"/>
            </w:tcBorders>
            <w:noWrap w:val="0"/>
            <w:vAlign w:val="center"/>
          </w:tcPr>
          <w:p w14:paraId="23BA5E00">
            <w:pPr>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评分项目</w:t>
            </w:r>
          </w:p>
        </w:tc>
        <w:tc>
          <w:tcPr>
            <w:tcW w:w="7372" w:type="dxa"/>
            <w:tcBorders>
              <w:top w:val="single" w:color="auto" w:sz="4" w:space="0"/>
              <w:left w:val="single" w:color="auto" w:sz="4" w:space="0"/>
              <w:bottom w:val="single" w:color="auto" w:sz="4" w:space="0"/>
              <w:right w:val="single" w:color="auto" w:sz="4" w:space="0"/>
            </w:tcBorders>
            <w:noWrap w:val="0"/>
            <w:vAlign w:val="center"/>
          </w:tcPr>
          <w:p w14:paraId="0AC392B1">
            <w:pPr>
              <w:spacing w:line="360" w:lineRule="auto"/>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评分标准</w:t>
            </w:r>
          </w:p>
        </w:tc>
      </w:tr>
      <w:tr w14:paraId="5B284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029" w:type="dxa"/>
            <w:tcBorders>
              <w:top w:val="single" w:color="auto" w:sz="4" w:space="0"/>
              <w:left w:val="single" w:color="auto" w:sz="4" w:space="0"/>
              <w:bottom w:val="single" w:color="auto" w:sz="4" w:space="0"/>
              <w:right w:val="single" w:color="auto" w:sz="4" w:space="0"/>
            </w:tcBorders>
            <w:noWrap w:val="0"/>
            <w:vAlign w:val="center"/>
          </w:tcPr>
          <w:p w14:paraId="63473BC6">
            <w:pPr>
              <w:spacing w:line="36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p>
        </w:tc>
        <w:tc>
          <w:tcPr>
            <w:tcW w:w="1424" w:type="dxa"/>
            <w:tcBorders>
              <w:top w:val="single" w:color="auto" w:sz="4" w:space="0"/>
              <w:left w:val="single" w:color="auto" w:sz="4" w:space="0"/>
              <w:bottom w:val="single" w:color="auto" w:sz="4" w:space="0"/>
              <w:right w:val="single" w:color="auto" w:sz="4" w:space="0"/>
            </w:tcBorders>
            <w:noWrap w:val="0"/>
            <w:vAlign w:val="center"/>
          </w:tcPr>
          <w:p w14:paraId="6433E942">
            <w:pPr>
              <w:keepNext w:val="0"/>
              <w:keepLines w:val="0"/>
              <w:widowControl w:val="0"/>
              <w:suppressLineNumbers w:val="0"/>
              <w:snapToGrid w:val="0"/>
              <w:spacing w:line="360" w:lineRule="auto"/>
              <w:jc w:val="left"/>
              <w:rPr>
                <w:rFonts w:hint="eastAsia" w:ascii="仿宋" w:hAnsi="仿宋" w:eastAsia="仿宋" w:cs="仿宋"/>
                <w:bCs/>
                <w:color w:val="auto"/>
                <w:kern w:val="0"/>
                <w:sz w:val="24"/>
                <w:szCs w:val="24"/>
                <w:highlight w:val="none"/>
                <w:lang w:val="en-US" w:eastAsia="zh-CN"/>
              </w:rPr>
            </w:pPr>
            <w:r>
              <w:rPr>
                <w:rFonts w:hint="eastAsia" w:ascii="仿宋" w:hAnsi="仿宋" w:eastAsia="仿宋" w:cs="仿宋"/>
                <w:bCs/>
                <w:color w:val="auto"/>
                <w:kern w:val="0"/>
                <w:sz w:val="24"/>
                <w:szCs w:val="24"/>
                <w:highlight w:val="none"/>
                <w:lang w:val="en-US" w:eastAsia="zh-CN"/>
              </w:rPr>
              <w:t>服务方案</w:t>
            </w:r>
          </w:p>
          <w:p w14:paraId="7B56DA6C">
            <w:pPr>
              <w:keepNext w:val="0"/>
              <w:keepLines w:val="0"/>
              <w:widowControl w:val="0"/>
              <w:suppressLineNumbers w:val="0"/>
              <w:snapToGrid w:val="0"/>
              <w:spacing w:line="360" w:lineRule="auto"/>
              <w:jc w:val="left"/>
              <w:rPr>
                <w:rFonts w:hint="eastAsia" w:ascii="仿宋" w:hAnsi="仿宋" w:eastAsia="仿宋" w:cs="仿宋"/>
                <w:b w:val="0"/>
                <w:bCs/>
                <w:color w:val="auto"/>
                <w:sz w:val="24"/>
                <w:szCs w:val="24"/>
                <w:highlight w:val="none"/>
              </w:rPr>
            </w:pPr>
            <w:r>
              <w:rPr>
                <w:rFonts w:hint="eastAsia" w:ascii="仿宋" w:hAnsi="仿宋" w:eastAsia="仿宋" w:cs="仿宋"/>
                <w:bCs/>
                <w:color w:val="auto"/>
                <w:kern w:val="0"/>
                <w:sz w:val="24"/>
                <w:szCs w:val="24"/>
                <w:highlight w:val="none"/>
                <w:lang w:val="en-US" w:eastAsia="zh-CN"/>
              </w:rPr>
              <w:t>（15</w:t>
            </w:r>
            <w:r>
              <w:rPr>
                <w:rFonts w:hint="eastAsia" w:ascii="仿宋" w:hAnsi="仿宋" w:eastAsia="仿宋" w:cs="仿宋"/>
                <w:b w:val="0"/>
                <w:bCs/>
                <w:color w:val="auto"/>
                <w:sz w:val="24"/>
                <w:szCs w:val="24"/>
                <w:highlight w:val="none"/>
                <w:lang w:val="en-US" w:eastAsia="zh-CN"/>
              </w:rPr>
              <w:t>分)</w:t>
            </w:r>
          </w:p>
        </w:tc>
        <w:tc>
          <w:tcPr>
            <w:tcW w:w="7372" w:type="dxa"/>
            <w:tcBorders>
              <w:top w:val="single" w:color="auto" w:sz="4" w:space="0"/>
              <w:left w:val="single" w:color="auto" w:sz="4" w:space="0"/>
              <w:bottom w:val="single" w:color="auto" w:sz="4" w:space="0"/>
              <w:right w:val="single" w:color="auto" w:sz="4" w:space="0"/>
            </w:tcBorders>
            <w:noWrap w:val="0"/>
            <w:vAlign w:val="center"/>
          </w:tcPr>
          <w:p w14:paraId="46BC051F">
            <w:pPr>
              <w:widowControl w:val="0"/>
              <w:snapToGrid w:val="0"/>
              <w:spacing w:line="360" w:lineRule="auto"/>
              <w:textAlignment w:val="auto"/>
              <w:rPr>
                <w:rFonts w:hint="eastAsia" w:ascii="仿宋" w:hAnsi="仿宋" w:eastAsia="仿宋" w:cs="仿宋"/>
                <w:bCs/>
                <w:color w:val="auto"/>
                <w:sz w:val="24"/>
                <w:szCs w:val="24"/>
                <w:highlight w:val="none"/>
                <w:lang w:eastAsia="zh-CN"/>
              </w:rPr>
            </w:pP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1</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rPr>
              <w:t>服务内容及承诺特别全面，服务响应及到现场时间及时，有具体的保障措施且合理、可行、能较好</w:t>
            </w:r>
            <w:r>
              <w:rPr>
                <w:rFonts w:hint="eastAsia" w:ascii="仿宋" w:hAnsi="仿宋" w:eastAsia="仿宋" w:cs="仿宋"/>
                <w:bCs/>
                <w:color w:val="auto"/>
                <w:sz w:val="24"/>
                <w:szCs w:val="24"/>
                <w:highlight w:val="none"/>
                <w:lang w:val="en-US" w:eastAsia="zh-CN"/>
              </w:rPr>
              <w:t>地</w:t>
            </w:r>
            <w:r>
              <w:rPr>
                <w:rFonts w:hint="eastAsia" w:ascii="仿宋" w:hAnsi="仿宋" w:eastAsia="仿宋" w:cs="仿宋"/>
                <w:bCs/>
                <w:color w:val="auto"/>
                <w:sz w:val="24"/>
                <w:szCs w:val="24"/>
                <w:highlight w:val="none"/>
              </w:rPr>
              <w:t>满足本项目要求</w:t>
            </w:r>
            <w:r>
              <w:rPr>
                <w:rFonts w:hint="eastAsia" w:ascii="仿宋" w:hAnsi="仿宋" w:eastAsia="仿宋" w:cs="仿宋"/>
                <w:bCs/>
                <w:color w:val="auto"/>
                <w:sz w:val="24"/>
                <w:szCs w:val="24"/>
                <w:highlight w:val="none"/>
                <w:lang w:eastAsia="zh-CN"/>
              </w:rPr>
              <w:t>或</w:t>
            </w:r>
            <w:r>
              <w:rPr>
                <w:rFonts w:hint="eastAsia" w:ascii="仿宋" w:hAnsi="仿宋" w:eastAsia="仿宋" w:cs="仿宋"/>
                <w:bCs/>
                <w:color w:val="auto"/>
                <w:sz w:val="24"/>
                <w:szCs w:val="24"/>
                <w:highlight w:val="none"/>
              </w:rPr>
              <w:t>优于采购人要求的，</w:t>
            </w:r>
            <w:r>
              <w:rPr>
                <w:rFonts w:hint="eastAsia" w:ascii="仿宋" w:hAnsi="仿宋" w:eastAsia="仿宋" w:cs="仿宋"/>
                <w:bCs/>
                <w:color w:val="auto"/>
                <w:sz w:val="24"/>
                <w:szCs w:val="24"/>
                <w:highlight w:val="none"/>
                <w:lang w:eastAsia="zh-CN"/>
              </w:rPr>
              <w:t>有</w:t>
            </w:r>
            <w:r>
              <w:rPr>
                <w:rFonts w:hint="eastAsia" w:ascii="仿宋" w:hAnsi="仿宋" w:eastAsia="仿宋" w:cs="仿宋"/>
                <w:bCs/>
                <w:color w:val="auto"/>
                <w:sz w:val="24"/>
                <w:szCs w:val="24"/>
                <w:highlight w:val="none"/>
              </w:rPr>
              <w:t>提供的本地化服务保障措施及承诺较好的得</w:t>
            </w:r>
            <w:r>
              <w:rPr>
                <w:rFonts w:hint="eastAsia" w:ascii="仿宋" w:hAnsi="仿宋" w:eastAsia="仿宋" w:cs="仿宋"/>
                <w:bCs/>
                <w:color w:val="auto"/>
                <w:sz w:val="24"/>
                <w:szCs w:val="24"/>
                <w:highlight w:val="none"/>
                <w:lang w:val="en-US" w:eastAsia="zh-CN"/>
              </w:rPr>
              <w:t>11-15</w:t>
            </w:r>
            <w:r>
              <w:rPr>
                <w:rFonts w:hint="eastAsia" w:ascii="仿宋" w:hAnsi="仿宋" w:eastAsia="仿宋" w:cs="仿宋"/>
                <w:bCs/>
                <w:color w:val="auto"/>
                <w:sz w:val="24"/>
                <w:szCs w:val="24"/>
                <w:highlight w:val="none"/>
              </w:rPr>
              <w:t>分</w:t>
            </w:r>
            <w:r>
              <w:rPr>
                <w:rFonts w:hint="eastAsia" w:ascii="仿宋" w:hAnsi="仿宋" w:eastAsia="仿宋" w:cs="仿宋"/>
                <w:bCs/>
                <w:color w:val="auto"/>
                <w:sz w:val="24"/>
                <w:szCs w:val="24"/>
                <w:highlight w:val="none"/>
                <w:lang w:eastAsia="zh-CN"/>
              </w:rPr>
              <w:t>；</w:t>
            </w:r>
          </w:p>
          <w:p w14:paraId="139C34F3">
            <w:pPr>
              <w:widowControl w:val="0"/>
              <w:snapToGrid w:val="0"/>
              <w:spacing w:line="360" w:lineRule="auto"/>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2</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rPr>
              <w:t>服务内容及承诺较全面，有书面计划和可行的措施，响应以及到现场时间较及时，有具体的保证措施且合理、可行，能基本满足本项目要求，提供的本地化服务保障措施及承诺一般的得</w:t>
            </w:r>
            <w:r>
              <w:rPr>
                <w:rFonts w:hint="eastAsia" w:ascii="仿宋" w:hAnsi="仿宋" w:eastAsia="仿宋" w:cs="仿宋"/>
                <w:bCs/>
                <w:color w:val="auto"/>
                <w:sz w:val="24"/>
                <w:szCs w:val="24"/>
                <w:highlight w:val="none"/>
                <w:lang w:val="en-US" w:eastAsia="zh-CN"/>
              </w:rPr>
              <w:t>6-10</w:t>
            </w:r>
            <w:r>
              <w:rPr>
                <w:rFonts w:hint="eastAsia" w:ascii="仿宋" w:hAnsi="仿宋" w:eastAsia="仿宋" w:cs="仿宋"/>
                <w:bCs/>
                <w:color w:val="auto"/>
                <w:sz w:val="24"/>
                <w:szCs w:val="24"/>
                <w:highlight w:val="none"/>
              </w:rPr>
              <w:t>分；</w:t>
            </w:r>
          </w:p>
          <w:p w14:paraId="1431DD91">
            <w:pPr>
              <w:widowControl w:val="0"/>
              <w:snapToGrid w:val="0"/>
              <w:spacing w:line="360" w:lineRule="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3</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rPr>
              <w:t>售后服务内容及承诺一般，响应以及到现场时间较慢，有具体的保证措施且基本合理、可行，能基本满足本项目要求，提供的本地化服务保障措施及承诺较差的得</w:t>
            </w:r>
            <w:r>
              <w:rPr>
                <w:rFonts w:hint="eastAsia" w:ascii="仿宋" w:hAnsi="仿宋" w:eastAsia="仿宋" w:cs="仿宋"/>
                <w:bCs/>
                <w:color w:val="auto"/>
                <w:sz w:val="24"/>
                <w:szCs w:val="24"/>
                <w:highlight w:val="none"/>
                <w:lang w:val="en-US" w:eastAsia="zh-CN"/>
              </w:rPr>
              <w:t>1-5</w:t>
            </w:r>
            <w:r>
              <w:rPr>
                <w:rFonts w:hint="eastAsia" w:ascii="仿宋" w:hAnsi="仿宋" w:eastAsia="仿宋" w:cs="仿宋"/>
                <w:bCs/>
                <w:color w:val="auto"/>
                <w:sz w:val="24"/>
                <w:szCs w:val="24"/>
                <w:highlight w:val="none"/>
              </w:rPr>
              <w:t>分。</w:t>
            </w:r>
          </w:p>
          <w:p w14:paraId="34989DC5">
            <w:pPr>
              <w:widowControl w:val="0"/>
              <w:snapToGrid w:val="0"/>
              <w:spacing w:line="360" w:lineRule="auto"/>
              <w:jc w:val="left"/>
              <w:rPr>
                <w:rFonts w:hint="eastAsia" w:ascii="仿宋" w:hAnsi="仿宋" w:eastAsia="仿宋" w:cs="仿宋"/>
                <w:b w:val="0"/>
                <w:bCs/>
                <w:color w:val="auto"/>
                <w:sz w:val="24"/>
                <w:szCs w:val="24"/>
                <w:highlight w:val="none"/>
              </w:rPr>
            </w:pP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4</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无售后服务内容及承诺的得0分；</w:t>
            </w:r>
          </w:p>
        </w:tc>
      </w:tr>
      <w:tr w14:paraId="25586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10" w:hRule="atLeast"/>
          <w:jc w:val="center"/>
        </w:trPr>
        <w:tc>
          <w:tcPr>
            <w:tcW w:w="1029" w:type="dxa"/>
            <w:tcBorders>
              <w:top w:val="single" w:color="auto" w:sz="4" w:space="0"/>
              <w:left w:val="single" w:color="auto" w:sz="4" w:space="0"/>
              <w:bottom w:val="single" w:color="auto" w:sz="4" w:space="0"/>
              <w:right w:val="single" w:color="auto" w:sz="4" w:space="0"/>
            </w:tcBorders>
            <w:noWrap w:val="0"/>
            <w:vAlign w:val="center"/>
          </w:tcPr>
          <w:p w14:paraId="3DC20E0A">
            <w:pPr>
              <w:spacing w:line="36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p>
        </w:tc>
        <w:tc>
          <w:tcPr>
            <w:tcW w:w="1424" w:type="dxa"/>
            <w:tcBorders>
              <w:top w:val="single" w:color="auto" w:sz="4" w:space="0"/>
              <w:left w:val="single" w:color="auto" w:sz="4" w:space="0"/>
              <w:bottom w:val="single" w:color="auto" w:sz="4" w:space="0"/>
              <w:right w:val="single" w:color="auto" w:sz="4" w:space="0"/>
            </w:tcBorders>
            <w:noWrap w:val="0"/>
            <w:vAlign w:val="center"/>
          </w:tcPr>
          <w:p w14:paraId="1E9A76D3">
            <w:pPr>
              <w:widowControl w:val="0"/>
              <w:snapToGrid w:val="0"/>
              <w:spacing w:line="360" w:lineRule="auto"/>
              <w:ind w:firstLine="240" w:firstLineChars="100"/>
              <w:jc w:val="left"/>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业绩</w:t>
            </w:r>
          </w:p>
          <w:p w14:paraId="7BE4AEB0">
            <w:pPr>
              <w:widowControl w:val="0"/>
              <w:snapToGrid w:val="0"/>
              <w:spacing w:line="360" w:lineRule="auto"/>
              <w:jc w:val="left"/>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（10分）</w:t>
            </w:r>
          </w:p>
        </w:tc>
        <w:tc>
          <w:tcPr>
            <w:tcW w:w="7372" w:type="dxa"/>
            <w:tcBorders>
              <w:top w:val="single" w:color="auto" w:sz="4" w:space="0"/>
              <w:left w:val="single" w:color="auto" w:sz="4" w:space="0"/>
              <w:bottom w:val="single" w:color="auto" w:sz="4" w:space="0"/>
              <w:right w:val="single" w:color="auto" w:sz="4" w:space="0"/>
            </w:tcBorders>
            <w:noWrap w:val="0"/>
            <w:vAlign w:val="center"/>
          </w:tcPr>
          <w:p w14:paraId="47D586DA">
            <w:pPr>
              <w:widowControl w:val="0"/>
              <w:snapToGrid w:val="0"/>
              <w:spacing w:line="360" w:lineRule="auto"/>
              <w:jc w:val="left"/>
              <w:rPr>
                <w:rFonts w:hint="eastAsia" w:ascii="仿宋" w:hAnsi="仿宋" w:eastAsia="仿宋" w:cs="仿宋"/>
                <w:b w:val="0"/>
                <w:bCs/>
                <w:color w:val="auto"/>
                <w:sz w:val="24"/>
                <w:szCs w:val="24"/>
                <w:highlight w:val="none"/>
                <w:lang w:val="en-US" w:eastAsia="zh-CN"/>
              </w:rPr>
            </w:pPr>
            <w:r>
              <w:rPr>
                <w:rFonts w:hint="eastAsia" w:ascii="仿宋" w:hAnsi="仿宋" w:eastAsia="仿宋" w:cs="仿宋"/>
                <w:bCs/>
                <w:color w:val="auto"/>
                <w:sz w:val="24"/>
                <w:szCs w:val="24"/>
                <w:highlight w:val="none"/>
                <w:u w:val="none"/>
                <w:lang w:val="en-US" w:eastAsia="zh-CN"/>
              </w:rPr>
              <w:t>提供2021年8月至今具有类似供货业绩，每提供一个有效业绩得2分，满分10分。（有效业绩需提供中标通知书或合同扫描件或发票，中标通知书或合同扫描件或发票中的单价、金额、采购人等关键信息不得涂盖，有效业绩必须是谈判申请人（本公司）与本项目采购货物相同的供货业绩：液氮储藏罐及二氧化碳培养箱</w:t>
            </w:r>
            <w:r>
              <w:rPr>
                <w:rFonts w:hint="eastAsia" w:ascii="仿宋" w:hAnsi="仿宋" w:eastAsia="仿宋" w:cs="仿宋"/>
                <w:bCs/>
                <w:color w:val="auto"/>
                <w:sz w:val="24"/>
                <w:szCs w:val="24"/>
                <w:highlight w:val="none"/>
                <w:u w:val="none"/>
                <w:lang w:val="en-US" w:eastAsia="zh-CN"/>
              </w:rPr>
              <w:t>）</w:t>
            </w:r>
          </w:p>
        </w:tc>
      </w:tr>
      <w:tr w14:paraId="7C2DE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10" w:hRule="atLeast"/>
          <w:jc w:val="center"/>
        </w:trPr>
        <w:tc>
          <w:tcPr>
            <w:tcW w:w="1029" w:type="dxa"/>
            <w:tcBorders>
              <w:top w:val="single" w:color="auto" w:sz="4" w:space="0"/>
              <w:left w:val="single" w:color="auto" w:sz="4" w:space="0"/>
              <w:bottom w:val="single" w:color="auto" w:sz="4" w:space="0"/>
              <w:right w:val="single" w:color="auto" w:sz="4" w:space="0"/>
            </w:tcBorders>
            <w:noWrap w:val="0"/>
            <w:vAlign w:val="center"/>
          </w:tcPr>
          <w:p w14:paraId="7785D251">
            <w:pPr>
              <w:spacing w:line="360" w:lineRule="auto"/>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p>
        </w:tc>
        <w:tc>
          <w:tcPr>
            <w:tcW w:w="1424" w:type="dxa"/>
            <w:tcBorders>
              <w:top w:val="single" w:color="auto" w:sz="4" w:space="0"/>
              <w:left w:val="single" w:color="auto" w:sz="4" w:space="0"/>
              <w:bottom w:val="single" w:color="auto" w:sz="4" w:space="0"/>
              <w:right w:val="single" w:color="auto" w:sz="4" w:space="0"/>
            </w:tcBorders>
            <w:noWrap w:val="0"/>
            <w:vAlign w:val="center"/>
          </w:tcPr>
          <w:p w14:paraId="7D66A1D6">
            <w:pPr>
              <w:widowControl w:val="0"/>
              <w:snapToGrid w:val="0"/>
              <w:spacing w:line="360" w:lineRule="auto"/>
              <w:jc w:val="left"/>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质保期（5分）</w:t>
            </w:r>
          </w:p>
        </w:tc>
        <w:tc>
          <w:tcPr>
            <w:tcW w:w="7372" w:type="dxa"/>
            <w:tcBorders>
              <w:top w:val="single" w:color="auto" w:sz="4" w:space="0"/>
              <w:left w:val="single" w:color="auto" w:sz="4" w:space="0"/>
              <w:bottom w:val="single" w:color="auto" w:sz="4" w:space="0"/>
              <w:right w:val="single" w:color="auto" w:sz="4" w:space="0"/>
            </w:tcBorders>
            <w:noWrap w:val="0"/>
            <w:vAlign w:val="center"/>
          </w:tcPr>
          <w:p w14:paraId="7B85E4D7">
            <w:pPr>
              <w:widowControl w:val="0"/>
              <w:snapToGrid w:val="0"/>
              <w:spacing w:line="360" w:lineRule="auto"/>
              <w:jc w:val="left"/>
              <w:rPr>
                <w:rFonts w:hint="eastAsia" w:ascii="仿宋" w:hAnsi="仿宋" w:eastAsia="仿宋" w:cs="仿宋"/>
                <w:bCs/>
                <w:color w:val="auto"/>
                <w:sz w:val="24"/>
                <w:szCs w:val="24"/>
                <w:highlight w:val="none"/>
                <w:u w:val="none"/>
                <w:lang w:val="en-US" w:eastAsia="zh-CN"/>
              </w:rPr>
            </w:pPr>
            <w:r>
              <w:rPr>
                <w:rFonts w:hint="eastAsia" w:ascii="仿宋" w:hAnsi="仿宋" w:eastAsia="仿宋" w:cs="仿宋"/>
                <w:bCs/>
                <w:color w:val="auto"/>
                <w:sz w:val="24"/>
                <w:szCs w:val="24"/>
                <w:highlight w:val="none"/>
                <w:u w:val="none"/>
                <w:lang w:val="en-US" w:eastAsia="zh-CN"/>
              </w:rPr>
              <w:t>承诺质保期最长（不超设备使用期限）的得5分，第二长得3分，第三长得1分，第四长及以后不得分，可以并列得分。</w:t>
            </w:r>
          </w:p>
        </w:tc>
      </w:tr>
    </w:tbl>
    <w:p w14:paraId="4A3CF4AD">
      <w:pPr>
        <w:pStyle w:val="2"/>
        <w:rPr>
          <w:rFonts w:hint="eastAsia"/>
          <w:lang w:eastAsia="zh-CN"/>
        </w:rPr>
      </w:pPr>
    </w:p>
    <w:p w14:paraId="55D4CD17">
      <w:pPr>
        <w:keepNext w:val="0"/>
        <w:keepLines w:val="0"/>
        <w:widowControl/>
        <w:suppressLineNumbers w:val="0"/>
        <w:jc w:val="left"/>
      </w:pPr>
    </w:p>
    <w:p w14:paraId="45566C1B"/>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2"/>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59CC030D"/>
    <w:rsid w:val="02141D77"/>
    <w:rsid w:val="02691984"/>
    <w:rsid w:val="037472F8"/>
    <w:rsid w:val="03ED346D"/>
    <w:rsid w:val="042E42B8"/>
    <w:rsid w:val="05B97511"/>
    <w:rsid w:val="07445592"/>
    <w:rsid w:val="08B03E69"/>
    <w:rsid w:val="0AEA18AB"/>
    <w:rsid w:val="0B8E3FFD"/>
    <w:rsid w:val="0BA17532"/>
    <w:rsid w:val="0BDC4F6E"/>
    <w:rsid w:val="11576F7C"/>
    <w:rsid w:val="1771005C"/>
    <w:rsid w:val="17AE1A29"/>
    <w:rsid w:val="1A306A02"/>
    <w:rsid w:val="1A385198"/>
    <w:rsid w:val="21D27278"/>
    <w:rsid w:val="22590C76"/>
    <w:rsid w:val="236953D8"/>
    <w:rsid w:val="23C13183"/>
    <w:rsid w:val="26010C4D"/>
    <w:rsid w:val="267143DF"/>
    <w:rsid w:val="279D069F"/>
    <w:rsid w:val="2C5518F5"/>
    <w:rsid w:val="310C4884"/>
    <w:rsid w:val="368E4C2A"/>
    <w:rsid w:val="369D33CF"/>
    <w:rsid w:val="383E384F"/>
    <w:rsid w:val="388042A0"/>
    <w:rsid w:val="3943642A"/>
    <w:rsid w:val="3A8D2B96"/>
    <w:rsid w:val="3D946B9A"/>
    <w:rsid w:val="41641CA7"/>
    <w:rsid w:val="41BE5E0E"/>
    <w:rsid w:val="44775D6C"/>
    <w:rsid w:val="451E098A"/>
    <w:rsid w:val="45C87CCF"/>
    <w:rsid w:val="47846D32"/>
    <w:rsid w:val="486D73A7"/>
    <w:rsid w:val="4D1E3BF5"/>
    <w:rsid w:val="4F94559A"/>
    <w:rsid w:val="55694DE8"/>
    <w:rsid w:val="56C86934"/>
    <w:rsid w:val="58DF3AAB"/>
    <w:rsid w:val="596B4E03"/>
    <w:rsid w:val="59CC030D"/>
    <w:rsid w:val="5AD023FF"/>
    <w:rsid w:val="5DD166EA"/>
    <w:rsid w:val="5F9F0D42"/>
    <w:rsid w:val="649E3780"/>
    <w:rsid w:val="64C6798C"/>
    <w:rsid w:val="6ADC556D"/>
    <w:rsid w:val="6B64178A"/>
    <w:rsid w:val="6BA71E32"/>
    <w:rsid w:val="6EDD3AFA"/>
    <w:rsid w:val="727F2737"/>
    <w:rsid w:val="756F3DFF"/>
    <w:rsid w:val="7D86730E"/>
    <w:rsid w:val="7FCE315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customStyle="1" w:styleId="2">
    <w:name w:val="标题 5（有编号）（绿盟科技）"/>
    <w:basedOn w:val="1"/>
    <w:next w:val="3"/>
    <w:autoRedefine/>
    <w:qFormat/>
    <w:uiPriority w:val="0"/>
    <w:pPr>
      <w:keepNext/>
      <w:keepLines/>
      <w:numPr>
        <w:ilvl w:val="4"/>
        <w:numId w:val="1"/>
      </w:numPr>
      <w:tabs>
        <w:tab w:val="left" w:pos="0"/>
      </w:tabs>
      <w:spacing w:before="280" w:after="156" w:line="377" w:lineRule="auto"/>
      <w:jc w:val="left"/>
      <w:outlineLvl w:val="4"/>
    </w:pPr>
    <w:rPr>
      <w:rFonts w:ascii="Arial" w:hAnsi="Arial" w:eastAsia="黑体"/>
      <w:b/>
      <w:kern w:val="0"/>
      <w:sz w:val="24"/>
      <w:szCs w:val="28"/>
    </w:rPr>
  </w:style>
  <w:style w:type="paragraph" w:customStyle="1" w:styleId="3">
    <w:name w:val="正文（绿盟科技）"/>
    <w:next w:val="1"/>
    <w:autoRedefine/>
    <w:qFormat/>
    <w:uiPriority w:val="0"/>
    <w:pPr>
      <w:spacing w:line="300" w:lineRule="auto"/>
    </w:pPr>
    <w:rPr>
      <w:rFonts w:ascii="Arial" w:hAnsi="Arial" w:eastAsia="宋体" w:cs="黑体"/>
      <w:sz w:val="21"/>
      <w:szCs w:val="21"/>
      <w:lang w:val="en-US" w:eastAsia="zh-CN" w:bidi="ar-SA"/>
    </w:rPr>
  </w:style>
  <w:style w:type="paragraph" w:styleId="4">
    <w:name w:val="Body Text"/>
    <w:basedOn w:val="1"/>
    <w:qFormat/>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948</Words>
  <Characters>970</Characters>
  <Lines>0</Lines>
  <Paragraphs>0</Paragraphs>
  <TotalTime>0</TotalTime>
  <ScaleCrop>false</ScaleCrop>
  <LinksUpToDate>false</LinksUpToDate>
  <CharactersWithSpaces>972</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2023-05-19T06:55:00Z</dcterms:created>
  <dc:creator>Administrator</dc:creator>
  <cp:lastModifiedBy>木香</cp:lastModifiedBy>
  <cp:lastPrinted>2024-02-20T07:24:00Z</cp:lastPrinted>
  <dcterms:modified xsi:type="dcterms:W3CDTF">2024-08-16T09:06:59Z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EF91788F010144B392240AFDDBF2DFA7_13</vt:lpwstr>
  </property>
</Properties>
</file>