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3D7B97">
      <w:pPr>
        <w:tabs>
          <w:tab w:val="left" w:pos="4176"/>
        </w:tabs>
        <w:snapToGrid w:val="0"/>
        <w:spacing w:line="360" w:lineRule="auto"/>
        <w:rPr>
          <w:rFonts w:hint="eastAsia" w:ascii="华文楷体" w:hAnsi="华文楷体" w:eastAsia="华文楷体" w:cs="华文楷体"/>
          <w:b/>
          <w:bCs/>
          <w:color w:val="auto"/>
          <w:sz w:val="28"/>
          <w:szCs w:val="28"/>
          <w:highlight w:val="none"/>
          <w:lang w:val="en-US" w:eastAsia="zh-CN"/>
        </w:rPr>
      </w:pPr>
      <w:r>
        <w:rPr>
          <w:rFonts w:hint="eastAsia" w:ascii="华文楷体" w:hAnsi="华文楷体" w:eastAsia="华文楷体" w:cs="华文楷体"/>
          <w:b/>
          <w:bCs/>
          <w:color w:val="auto"/>
          <w:sz w:val="28"/>
          <w:szCs w:val="28"/>
          <w:highlight w:val="none"/>
          <w:lang w:val="en-US" w:eastAsia="zh-CN"/>
        </w:rPr>
        <w:t>附件3：安宁市第一人民医院水污染源在线监测系统检测及验收报告编制服务项目评分标准</w:t>
      </w:r>
    </w:p>
    <w:tbl>
      <w:tblPr>
        <w:tblStyle w:val="3"/>
        <w:tblpPr w:leftFromText="180" w:rightFromText="180" w:vertAnchor="text" w:horzAnchor="page" w:tblpXSpec="center" w:tblpY="291"/>
        <w:tblOverlap w:val="never"/>
        <w:tblW w:w="92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52"/>
        <w:gridCol w:w="1614"/>
        <w:gridCol w:w="5762"/>
        <w:gridCol w:w="637"/>
      </w:tblGrid>
      <w:tr w14:paraId="2D0D6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252" w:type="dxa"/>
            <w:noWrap w:val="0"/>
            <w:vAlign w:val="center"/>
          </w:tcPr>
          <w:p w14:paraId="26295D33">
            <w:pPr>
              <w:spacing w:line="300" w:lineRule="exact"/>
              <w:jc w:val="center"/>
              <w:rPr>
                <w:rFonts w:hint="eastAsia" w:ascii="华文楷体" w:hAnsi="华文楷体" w:eastAsia="华文楷体" w:cs="华文楷体"/>
                <w:b/>
                <w:bCs/>
                <w:color w:val="000000"/>
                <w:szCs w:val="21"/>
              </w:rPr>
            </w:pPr>
            <w:r>
              <w:rPr>
                <w:rFonts w:hint="eastAsia" w:ascii="华文楷体" w:hAnsi="华文楷体" w:eastAsia="华文楷体" w:cs="华文楷体"/>
                <w:b/>
                <w:bCs/>
                <w:color w:val="000000"/>
                <w:szCs w:val="21"/>
              </w:rPr>
              <w:t>项目</w:t>
            </w:r>
          </w:p>
        </w:tc>
        <w:tc>
          <w:tcPr>
            <w:tcW w:w="1614" w:type="dxa"/>
            <w:noWrap w:val="0"/>
            <w:vAlign w:val="center"/>
          </w:tcPr>
          <w:p w14:paraId="1627CD50">
            <w:pPr>
              <w:spacing w:line="300" w:lineRule="exact"/>
              <w:jc w:val="center"/>
              <w:rPr>
                <w:rFonts w:hint="eastAsia" w:ascii="华文楷体" w:hAnsi="华文楷体" w:eastAsia="华文楷体" w:cs="华文楷体"/>
                <w:b/>
                <w:bCs/>
                <w:color w:val="000000"/>
                <w:szCs w:val="21"/>
              </w:rPr>
            </w:pPr>
            <w:r>
              <w:rPr>
                <w:rFonts w:hint="eastAsia" w:ascii="华文楷体" w:hAnsi="华文楷体" w:eastAsia="华文楷体" w:cs="华文楷体"/>
                <w:b/>
                <w:bCs/>
                <w:color w:val="000000"/>
                <w:szCs w:val="21"/>
              </w:rPr>
              <w:t>分项</w:t>
            </w:r>
          </w:p>
        </w:tc>
        <w:tc>
          <w:tcPr>
            <w:tcW w:w="5762" w:type="dxa"/>
            <w:noWrap w:val="0"/>
            <w:vAlign w:val="center"/>
          </w:tcPr>
          <w:p w14:paraId="150E07A1">
            <w:pPr>
              <w:spacing w:line="300" w:lineRule="exact"/>
              <w:ind w:firstLine="422"/>
              <w:jc w:val="center"/>
              <w:rPr>
                <w:rFonts w:hint="eastAsia" w:ascii="华文楷体" w:hAnsi="华文楷体" w:eastAsia="华文楷体" w:cs="华文楷体"/>
                <w:b/>
                <w:bCs/>
                <w:color w:val="000000"/>
                <w:szCs w:val="21"/>
              </w:rPr>
            </w:pPr>
            <w:r>
              <w:rPr>
                <w:rFonts w:hint="eastAsia" w:ascii="华文楷体" w:hAnsi="华文楷体" w:eastAsia="华文楷体" w:cs="华文楷体"/>
                <w:b/>
                <w:bCs/>
                <w:color w:val="000000"/>
                <w:szCs w:val="21"/>
              </w:rPr>
              <w:t>评分办法</w:t>
            </w:r>
          </w:p>
        </w:tc>
        <w:tc>
          <w:tcPr>
            <w:tcW w:w="637" w:type="dxa"/>
            <w:noWrap w:val="0"/>
            <w:vAlign w:val="center"/>
          </w:tcPr>
          <w:p w14:paraId="17A7B317">
            <w:pPr>
              <w:spacing w:line="300" w:lineRule="exact"/>
              <w:jc w:val="center"/>
              <w:rPr>
                <w:rFonts w:hint="eastAsia" w:ascii="华文楷体" w:hAnsi="华文楷体" w:eastAsia="华文楷体" w:cs="华文楷体"/>
                <w:b/>
                <w:bCs/>
                <w:color w:val="000000"/>
                <w:szCs w:val="21"/>
              </w:rPr>
            </w:pPr>
            <w:r>
              <w:rPr>
                <w:rFonts w:hint="eastAsia" w:ascii="华文楷体" w:hAnsi="华文楷体" w:eastAsia="华文楷体" w:cs="华文楷体"/>
                <w:b/>
                <w:bCs/>
                <w:color w:val="000000"/>
                <w:szCs w:val="21"/>
              </w:rPr>
              <w:t>分值</w:t>
            </w:r>
          </w:p>
        </w:tc>
      </w:tr>
      <w:tr w14:paraId="1D282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6" w:hRule="atLeast"/>
          <w:jc w:val="center"/>
        </w:trPr>
        <w:tc>
          <w:tcPr>
            <w:tcW w:w="1252" w:type="dxa"/>
            <w:noWrap w:val="0"/>
            <w:vAlign w:val="center"/>
          </w:tcPr>
          <w:p w14:paraId="41C576A4">
            <w:pPr>
              <w:spacing w:line="300" w:lineRule="exact"/>
              <w:jc w:val="center"/>
              <w:rPr>
                <w:rFonts w:hint="eastAsia" w:ascii="华文楷体" w:hAnsi="华文楷体" w:eastAsia="华文楷体" w:cs="华文楷体"/>
                <w:color w:val="000000"/>
                <w:szCs w:val="21"/>
              </w:rPr>
            </w:pPr>
            <w:r>
              <w:rPr>
                <w:rFonts w:hint="eastAsia" w:ascii="华文楷体" w:hAnsi="华文楷体" w:eastAsia="华文楷体" w:cs="华文楷体"/>
                <w:color w:val="000000"/>
                <w:szCs w:val="21"/>
              </w:rPr>
              <w:t>1、价格部分（</w:t>
            </w:r>
            <w:r>
              <w:rPr>
                <w:rFonts w:hint="eastAsia" w:ascii="华文楷体" w:hAnsi="华文楷体" w:eastAsia="华文楷体" w:cs="华文楷体"/>
                <w:color w:val="000000"/>
                <w:szCs w:val="21"/>
                <w:lang w:val="en-US" w:eastAsia="zh-CN"/>
              </w:rPr>
              <w:t>3</w:t>
            </w:r>
            <w:r>
              <w:rPr>
                <w:rFonts w:hint="eastAsia" w:ascii="华文楷体" w:hAnsi="华文楷体" w:eastAsia="华文楷体" w:cs="华文楷体"/>
                <w:color w:val="000000"/>
                <w:szCs w:val="21"/>
              </w:rPr>
              <w:t>0分）</w:t>
            </w:r>
          </w:p>
        </w:tc>
        <w:tc>
          <w:tcPr>
            <w:tcW w:w="1614" w:type="dxa"/>
            <w:noWrap w:val="0"/>
            <w:vAlign w:val="center"/>
          </w:tcPr>
          <w:p w14:paraId="0FC780B9">
            <w:pPr>
              <w:spacing w:line="300" w:lineRule="exact"/>
              <w:jc w:val="center"/>
              <w:rPr>
                <w:rFonts w:hint="eastAsia" w:ascii="华文楷体" w:hAnsi="华文楷体" w:eastAsia="华文楷体" w:cs="华文楷体"/>
                <w:color w:val="000000"/>
                <w:szCs w:val="21"/>
              </w:rPr>
            </w:pPr>
            <w:r>
              <w:rPr>
                <w:rFonts w:hint="eastAsia" w:ascii="华文楷体" w:hAnsi="华文楷体" w:eastAsia="华文楷体" w:cs="华文楷体"/>
                <w:color w:val="000000"/>
                <w:szCs w:val="21"/>
              </w:rPr>
              <w:t>价格</w:t>
            </w:r>
          </w:p>
        </w:tc>
        <w:tc>
          <w:tcPr>
            <w:tcW w:w="5762" w:type="dxa"/>
            <w:noWrap w:val="0"/>
            <w:vAlign w:val="center"/>
          </w:tcPr>
          <w:p w14:paraId="1E9F52E7">
            <w:pPr>
              <w:spacing w:line="300" w:lineRule="exact"/>
              <w:rPr>
                <w:rFonts w:hint="eastAsia" w:ascii="华文楷体" w:hAnsi="华文楷体" w:eastAsia="华文楷体" w:cs="华文楷体"/>
                <w:snapToGrid w:val="0"/>
                <w:color w:val="000000"/>
                <w:szCs w:val="21"/>
              </w:rPr>
            </w:pPr>
            <w:r>
              <w:rPr>
                <w:rFonts w:hint="eastAsia" w:ascii="华文楷体" w:hAnsi="华文楷体" w:eastAsia="华文楷体" w:cs="华文楷体"/>
                <w:snapToGrid w:val="0"/>
                <w:color w:val="000000"/>
                <w:szCs w:val="21"/>
              </w:rPr>
              <w:t>报价评分计算公式=（评标基准价/该供应商的最后报价）×</w:t>
            </w:r>
            <w:r>
              <w:rPr>
                <w:rFonts w:hint="eastAsia" w:ascii="华文楷体" w:hAnsi="华文楷体" w:eastAsia="华文楷体" w:cs="华文楷体"/>
                <w:snapToGrid w:val="0"/>
                <w:color w:val="000000"/>
                <w:szCs w:val="21"/>
                <w:lang w:val="en-US" w:eastAsia="zh-CN"/>
              </w:rPr>
              <w:t>3</w:t>
            </w:r>
            <w:r>
              <w:rPr>
                <w:rFonts w:hint="eastAsia" w:ascii="华文楷体" w:hAnsi="华文楷体" w:eastAsia="华文楷体" w:cs="华文楷体"/>
                <w:snapToGrid w:val="0"/>
                <w:color w:val="000000"/>
                <w:szCs w:val="21"/>
              </w:rPr>
              <w:t>0分（保留小数点后两位）。</w:t>
            </w:r>
          </w:p>
          <w:p w14:paraId="6944C7B9">
            <w:pPr>
              <w:spacing w:line="300" w:lineRule="exact"/>
              <w:rPr>
                <w:rFonts w:hint="default" w:ascii="华文楷体" w:hAnsi="华文楷体" w:eastAsia="华文楷体" w:cs="华文楷体"/>
                <w:color w:val="000000"/>
                <w:szCs w:val="21"/>
                <w:lang w:val="en-US" w:eastAsia="zh-CN"/>
              </w:rPr>
            </w:pPr>
          </w:p>
        </w:tc>
        <w:tc>
          <w:tcPr>
            <w:tcW w:w="637" w:type="dxa"/>
            <w:noWrap w:val="0"/>
            <w:vAlign w:val="center"/>
          </w:tcPr>
          <w:p w14:paraId="4BBCBE54">
            <w:pPr>
              <w:spacing w:line="300" w:lineRule="exact"/>
              <w:jc w:val="center"/>
              <w:rPr>
                <w:rFonts w:hint="eastAsia" w:ascii="华文楷体" w:hAnsi="华文楷体" w:eastAsia="华文楷体" w:cs="华文楷体"/>
                <w:color w:val="000000"/>
              </w:rPr>
            </w:pPr>
            <w:r>
              <w:rPr>
                <w:rFonts w:hint="eastAsia" w:ascii="华文楷体" w:hAnsi="华文楷体" w:eastAsia="华文楷体" w:cs="华文楷体"/>
                <w:color w:val="000000"/>
                <w:lang w:val="en-US" w:eastAsia="zh-CN"/>
              </w:rPr>
              <w:t>3</w:t>
            </w:r>
            <w:r>
              <w:rPr>
                <w:rFonts w:hint="eastAsia" w:ascii="华文楷体" w:hAnsi="华文楷体" w:eastAsia="华文楷体" w:cs="华文楷体"/>
                <w:color w:val="000000"/>
              </w:rPr>
              <w:t>0</w:t>
            </w:r>
          </w:p>
        </w:tc>
      </w:tr>
      <w:tr w14:paraId="07361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3" w:hRule="atLeast"/>
          <w:jc w:val="center"/>
        </w:trPr>
        <w:tc>
          <w:tcPr>
            <w:tcW w:w="1252" w:type="dxa"/>
            <w:vMerge w:val="restart"/>
            <w:noWrap w:val="0"/>
            <w:vAlign w:val="center"/>
          </w:tcPr>
          <w:p w14:paraId="36A7816B">
            <w:pPr>
              <w:spacing w:line="300" w:lineRule="exact"/>
              <w:jc w:val="center"/>
              <w:rPr>
                <w:rFonts w:hint="eastAsia" w:ascii="华文楷体" w:hAnsi="华文楷体" w:eastAsia="华文楷体" w:cs="华文楷体"/>
                <w:color w:val="000000"/>
                <w:szCs w:val="21"/>
              </w:rPr>
            </w:pPr>
            <w:r>
              <w:rPr>
                <w:rFonts w:hint="eastAsia" w:ascii="华文楷体" w:hAnsi="华文楷体" w:eastAsia="华文楷体" w:cs="华文楷体"/>
                <w:color w:val="000000"/>
                <w:szCs w:val="21"/>
              </w:rPr>
              <w:t>2、技术部分（</w:t>
            </w:r>
            <w:r>
              <w:rPr>
                <w:rFonts w:hint="eastAsia" w:ascii="华文楷体" w:hAnsi="华文楷体" w:eastAsia="华文楷体" w:cs="华文楷体"/>
                <w:color w:val="000000"/>
                <w:szCs w:val="21"/>
                <w:lang w:val="en-US" w:eastAsia="zh-CN"/>
              </w:rPr>
              <w:t>5</w:t>
            </w:r>
            <w:r>
              <w:rPr>
                <w:rFonts w:hint="eastAsia" w:ascii="华文楷体" w:hAnsi="华文楷体" w:eastAsia="华文楷体" w:cs="华文楷体"/>
                <w:color w:val="000000"/>
                <w:szCs w:val="21"/>
              </w:rPr>
              <w:t>5分）</w:t>
            </w:r>
          </w:p>
        </w:tc>
        <w:tc>
          <w:tcPr>
            <w:tcW w:w="1614" w:type="dxa"/>
            <w:noWrap w:val="0"/>
            <w:vAlign w:val="center"/>
          </w:tcPr>
          <w:p w14:paraId="73D8082E">
            <w:pPr>
              <w:spacing w:line="300" w:lineRule="exact"/>
              <w:jc w:val="center"/>
              <w:rPr>
                <w:rFonts w:hint="default" w:ascii="华文楷体" w:hAnsi="华文楷体" w:eastAsia="华文楷体" w:cs="华文楷体"/>
                <w:color w:val="000000"/>
                <w:szCs w:val="21"/>
                <w:lang w:val="en-US" w:eastAsia="zh-CN"/>
              </w:rPr>
            </w:pPr>
            <w:bookmarkStart w:id="0" w:name="_GoBack"/>
            <w:bookmarkEnd w:id="0"/>
            <w:r>
              <w:rPr>
                <w:rFonts w:hint="eastAsia" w:ascii="华文楷体" w:hAnsi="华文楷体" w:eastAsia="华文楷体" w:cs="华文楷体"/>
                <w:color w:val="000000"/>
                <w:szCs w:val="21"/>
              </w:rPr>
              <w:t>服务方案</w:t>
            </w:r>
          </w:p>
        </w:tc>
        <w:tc>
          <w:tcPr>
            <w:tcW w:w="5762" w:type="dxa"/>
            <w:noWrap w:val="0"/>
            <w:vAlign w:val="center"/>
          </w:tcPr>
          <w:p w14:paraId="73A1007D">
            <w:pPr>
              <w:autoSpaceDE w:val="0"/>
              <w:autoSpaceDN w:val="0"/>
              <w:adjustRightInd w:val="0"/>
              <w:spacing w:line="300" w:lineRule="exact"/>
              <w:rPr>
                <w:rFonts w:hint="eastAsia" w:ascii="华文楷体" w:hAnsi="华文楷体" w:eastAsia="华文楷体" w:cs="华文楷体"/>
                <w:color w:val="000000"/>
                <w:szCs w:val="21"/>
              </w:rPr>
            </w:pPr>
            <w:r>
              <w:rPr>
                <w:rFonts w:hint="eastAsia" w:ascii="华文楷体" w:hAnsi="华文楷体" w:eastAsia="华文楷体" w:cs="华文楷体"/>
                <w:color w:val="000000"/>
                <w:szCs w:val="21"/>
              </w:rPr>
              <w:t>第一档次：</w:t>
            </w:r>
            <w:r>
              <w:rPr>
                <w:rFonts w:hint="eastAsia" w:ascii="华文楷体" w:hAnsi="华文楷体" w:eastAsia="华文楷体" w:cs="华文楷体"/>
                <w:color w:val="000000"/>
                <w:szCs w:val="21"/>
                <w:lang w:eastAsia="zh-CN"/>
              </w:rPr>
              <w:t>提供的考务</w:t>
            </w:r>
            <w:r>
              <w:rPr>
                <w:rFonts w:hint="eastAsia" w:ascii="华文楷体" w:hAnsi="华文楷体" w:eastAsia="华文楷体" w:cs="华文楷体"/>
                <w:color w:val="000000"/>
                <w:szCs w:val="21"/>
              </w:rPr>
              <w:t>服务方案合理可行，工作措施具体且有针对性，工作部署全面的，得30分；</w:t>
            </w:r>
          </w:p>
          <w:p w14:paraId="1A246949">
            <w:pPr>
              <w:autoSpaceDE w:val="0"/>
              <w:autoSpaceDN w:val="0"/>
              <w:adjustRightInd w:val="0"/>
              <w:spacing w:line="300" w:lineRule="exact"/>
              <w:rPr>
                <w:rFonts w:hint="eastAsia" w:ascii="华文楷体" w:hAnsi="华文楷体" w:eastAsia="华文楷体" w:cs="华文楷体"/>
                <w:color w:val="000000"/>
                <w:szCs w:val="21"/>
              </w:rPr>
            </w:pPr>
            <w:r>
              <w:rPr>
                <w:rFonts w:hint="eastAsia" w:ascii="华文楷体" w:hAnsi="华文楷体" w:eastAsia="华文楷体" w:cs="华文楷体"/>
                <w:color w:val="000000"/>
                <w:szCs w:val="21"/>
              </w:rPr>
              <w:t>第二档次：</w:t>
            </w:r>
            <w:r>
              <w:rPr>
                <w:rFonts w:hint="eastAsia" w:ascii="华文楷体" w:hAnsi="华文楷体" w:eastAsia="华文楷体" w:cs="华文楷体"/>
                <w:color w:val="000000"/>
                <w:szCs w:val="21"/>
                <w:lang w:eastAsia="zh-CN"/>
              </w:rPr>
              <w:t>考务</w:t>
            </w:r>
            <w:r>
              <w:rPr>
                <w:rFonts w:hint="eastAsia" w:ascii="华文楷体" w:hAnsi="华文楷体" w:eastAsia="华文楷体" w:cs="华文楷体"/>
                <w:color w:val="000000"/>
                <w:szCs w:val="21"/>
              </w:rPr>
              <w:t>服务方案合理，工作措施具体但针对性一般，工作部署全面的，得20分；</w:t>
            </w:r>
          </w:p>
          <w:p w14:paraId="282C5737">
            <w:pPr>
              <w:autoSpaceDE w:val="0"/>
              <w:autoSpaceDN w:val="0"/>
              <w:adjustRightInd w:val="0"/>
              <w:spacing w:line="300" w:lineRule="exact"/>
              <w:rPr>
                <w:rFonts w:hint="eastAsia" w:ascii="华文楷体" w:hAnsi="华文楷体" w:eastAsia="华文楷体" w:cs="华文楷体"/>
                <w:color w:val="000000"/>
                <w:szCs w:val="21"/>
              </w:rPr>
            </w:pPr>
            <w:r>
              <w:rPr>
                <w:rFonts w:hint="eastAsia" w:ascii="华文楷体" w:hAnsi="华文楷体" w:eastAsia="华文楷体" w:cs="华文楷体"/>
                <w:color w:val="000000"/>
                <w:szCs w:val="21"/>
              </w:rPr>
              <w:t>第三档次：</w:t>
            </w:r>
            <w:r>
              <w:rPr>
                <w:rFonts w:hint="eastAsia" w:ascii="华文楷体" w:hAnsi="华文楷体" w:eastAsia="华文楷体" w:cs="华文楷体"/>
                <w:color w:val="000000"/>
                <w:szCs w:val="21"/>
                <w:lang w:eastAsia="zh-CN"/>
              </w:rPr>
              <w:t>考务</w:t>
            </w:r>
            <w:r>
              <w:rPr>
                <w:rFonts w:hint="eastAsia" w:ascii="华文楷体" w:hAnsi="华文楷体" w:eastAsia="华文楷体" w:cs="华文楷体"/>
                <w:color w:val="000000"/>
                <w:szCs w:val="21"/>
              </w:rPr>
              <w:t>服务方案基本完整，工作措施、工作部署基本完整，内容存在不足之处，得10分；</w:t>
            </w:r>
          </w:p>
          <w:p w14:paraId="336877F3">
            <w:pPr>
              <w:autoSpaceDE w:val="0"/>
              <w:autoSpaceDN w:val="0"/>
              <w:adjustRightInd w:val="0"/>
              <w:spacing w:line="300" w:lineRule="exact"/>
              <w:rPr>
                <w:rFonts w:hint="eastAsia" w:ascii="华文楷体" w:hAnsi="华文楷体" w:eastAsia="华文楷体" w:cs="华文楷体"/>
                <w:color w:val="000000"/>
                <w:szCs w:val="21"/>
              </w:rPr>
            </w:pPr>
            <w:r>
              <w:rPr>
                <w:rFonts w:hint="eastAsia" w:ascii="华文楷体" w:hAnsi="华文楷体" w:eastAsia="华文楷体" w:cs="华文楷体"/>
                <w:color w:val="000000"/>
                <w:szCs w:val="21"/>
              </w:rPr>
              <w:t>未提供</w:t>
            </w:r>
            <w:r>
              <w:rPr>
                <w:rFonts w:hint="eastAsia" w:ascii="华文楷体" w:hAnsi="华文楷体" w:eastAsia="华文楷体" w:cs="华文楷体"/>
                <w:color w:val="000000"/>
                <w:szCs w:val="21"/>
                <w:lang w:eastAsia="zh-CN"/>
              </w:rPr>
              <w:t>考务</w:t>
            </w:r>
            <w:r>
              <w:rPr>
                <w:rFonts w:hint="eastAsia" w:ascii="华文楷体" w:hAnsi="华文楷体" w:eastAsia="华文楷体" w:cs="华文楷体"/>
                <w:color w:val="000000"/>
                <w:szCs w:val="21"/>
              </w:rPr>
              <w:t>服务方案的得0分。</w:t>
            </w:r>
          </w:p>
        </w:tc>
        <w:tc>
          <w:tcPr>
            <w:tcW w:w="637" w:type="dxa"/>
            <w:tcBorders/>
            <w:noWrap w:val="0"/>
            <w:vAlign w:val="center"/>
          </w:tcPr>
          <w:p w14:paraId="6782ADAE">
            <w:pPr>
              <w:spacing w:line="300" w:lineRule="exact"/>
              <w:jc w:val="center"/>
              <w:rPr>
                <w:rFonts w:hint="eastAsia" w:ascii="华文楷体" w:hAnsi="华文楷体" w:eastAsia="华文楷体" w:cs="华文楷体"/>
                <w:color w:val="000000"/>
              </w:rPr>
            </w:pPr>
            <w:r>
              <w:rPr>
                <w:rFonts w:hint="eastAsia" w:ascii="华文楷体" w:hAnsi="华文楷体" w:eastAsia="华文楷体" w:cs="华文楷体"/>
                <w:color w:val="000000"/>
              </w:rPr>
              <w:t>30</w:t>
            </w:r>
          </w:p>
        </w:tc>
      </w:tr>
      <w:tr w14:paraId="437CC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1" w:hRule="atLeast"/>
          <w:jc w:val="center"/>
        </w:trPr>
        <w:tc>
          <w:tcPr>
            <w:tcW w:w="1252" w:type="dxa"/>
            <w:vMerge w:val="continue"/>
            <w:noWrap w:val="0"/>
            <w:vAlign w:val="center"/>
          </w:tcPr>
          <w:p w14:paraId="548A1E77">
            <w:pPr>
              <w:spacing w:line="300" w:lineRule="exact"/>
              <w:jc w:val="center"/>
              <w:rPr>
                <w:rFonts w:hint="eastAsia" w:ascii="华文楷体" w:hAnsi="华文楷体" w:eastAsia="华文楷体" w:cs="华文楷体"/>
                <w:color w:val="000000"/>
                <w:szCs w:val="21"/>
              </w:rPr>
            </w:pPr>
          </w:p>
        </w:tc>
        <w:tc>
          <w:tcPr>
            <w:tcW w:w="1614" w:type="dxa"/>
            <w:noWrap w:val="0"/>
            <w:vAlign w:val="center"/>
          </w:tcPr>
          <w:p w14:paraId="68F89D68">
            <w:pPr>
              <w:spacing w:line="300" w:lineRule="exact"/>
              <w:jc w:val="center"/>
              <w:rPr>
                <w:rFonts w:hint="default" w:ascii="华文楷体" w:hAnsi="华文楷体" w:eastAsia="华文楷体" w:cs="华文楷体"/>
                <w:color w:val="000000"/>
                <w:szCs w:val="21"/>
                <w:lang w:val="en-US" w:eastAsia="zh-CN"/>
              </w:rPr>
            </w:pPr>
            <w:r>
              <w:rPr>
                <w:rFonts w:hint="eastAsia" w:ascii="华文楷体" w:hAnsi="华文楷体" w:eastAsia="华文楷体" w:cs="华文楷体"/>
                <w:color w:val="000000"/>
                <w:szCs w:val="21"/>
              </w:rPr>
              <w:t>服务优势、可向招标人提供的特色服务或增值服务</w:t>
            </w:r>
          </w:p>
        </w:tc>
        <w:tc>
          <w:tcPr>
            <w:tcW w:w="5762" w:type="dxa"/>
            <w:noWrap w:val="0"/>
            <w:vAlign w:val="center"/>
          </w:tcPr>
          <w:p w14:paraId="390FECEC">
            <w:pPr>
              <w:spacing w:line="300" w:lineRule="exact"/>
              <w:rPr>
                <w:rFonts w:hint="eastAsia" w:ascii="华文楷体" w:hAnsi="华文楷体" w:eastAsia="华文楷体" w:cs="华文楷体"/>
                <w:color w:val="000000"/>
                <w:szCs w:val="21"/>
              </w:rPr>
            </w:pPr>
            <w:r>
              <w:rPr>
                <w:rFonts w:hint="eastAsia" w:ascii="华文楷体" w:hAnsi="华文楷体" w:eastAsia="华文楷体" w:cs="华文楷体"/>
                <w:color w:val="000000"/>
                <w:szCs w:val="21"/>
              </w:rPr>
              <w:t>评标委员会按各投标人的服务优势、特色或增值服务按从优到差进行排序，并按下列档次进行评分：</w:t>
            </w:r>
          </w:p>
          <w:p w14:paraId="6FDA7D50">
            <w:pPr>
              <w:spacing w:line="300" w:lineRule="exact"/>
              <w:rPr>
                <w:rFonts w:hint="eastAsia" w:ascii="华文楷体" w:hAnsi="华文楷体" w:eastAsia="华文楷体" w:cs="华文楷体"/>
                <w:color w:val="000000"/>
                <w:szCs w:val="21"/>
              </w:rPr>
            </w:pPr>
            <w:r>
              <w:rPr>
                <w:rFonts w:hint="eastAsia" w:ascii="华文楷体" w:hAnsi="华文楷体" w:eastAsia="华文楷体" w:cs="华文楷体"/>
                <w:color w:val="000000"/>
                <w:szCs w:val="21"/>
              </w:rPr>
              <w:t>第一档次：所有有效投标人中服务优势、特色或增值服务情况最佳的，得10分；</w:t>
            </w:r>
          </w:p>
          <w:p w14:paraId="5507C0B7">
            <w:pPr>
              <w:spacing w:line="300" w:lineRule="exact"/>
              <w:rPr>
                <w:rFonts w:hint="eastAsia" w:ascii="华文楷体" w:hAnsi="华文楷体" w:eastAsia="华文楷体" w:cs="华文楷体"/>
                <w:color w:val="000000"/>
                <w:szCs w:val="21"/>
              </w:rPr>
            </w:pPr>
            <w:r>
              <w:rPr>
                <w:rFonts w:hint="eastAsia" w:ascii="华文楷体" w:hAnsi="华文楷体" w:eastAsia="华文楷体" w:cs="华文楷体"/>
                <w:color w:val="000000"/>
                <w:szCs w:val="21"/>
              </w:rPr>
              <w:t>第二档7分；</w:t>
            </w:r>
          </w:p>
          <w:p w14:paraId="70A8B63C">
            <w:pPr>
              <w:spacing w:line="300" w:lineRule="exact"/>
              <w:rPr>
                <w:rFonts w:hint="eastAsia" w:ascii="华文楷体" w:hAnsi="华文楷体" w:eastAsia="华文楷体" w:cs="华文楷体"/>
                <w:color w:val="000000"/>
                <w:szCs w:val="21"/>
              </w:rPr>
            </w:pPr>
            <w:r>
              <w:rPr>
                <w:rFonts w:hint="eastAsia" w:ascii="华文楷体" w:hAnsi="华文楷体" w:eastAsia="华文楷体" w:cs="华文楷体"/>
                <w:color w:val="000000"/>
                <w:szCs w:val="21"/>
              </w:rPr>
              <w:t>第三档次：所有有效投标人中服务优势、特色或增值服务情况一般的，得4分。</w:t>
            </w:r>
          </w:p>
          <w:p w14:paraId="7C678AB7">
            <w:pPr>
              <w:spacing w:line="300" w:lineRule="exact"/>
              <w:rPr>
                <w:rFonts w:hint="eastAsia" w:ascii="华文楷体" w:hAnsi="华文楷体" w:eastAsia="华文楷体" w:cs="华文楷体"/>
                <w:color w:val="000000"/>
                <w:szCs w:val="21"/>
              </w:rPr>
            </w:pPr>
            <w:r>
              <w:rPr>
                <w:rFonts w:hint="eastAsia" w:ascii="华文楷体" w:hAnsi="华文楷体" w:eastAsia="华文楷体" w:cs="华文楷体"/>
                <w:color w:val="000000"/>
                <w:szCs w:val="21"/>
              </w:rPr>
              <w:t>未提供服务优势、特色服务或增值服务的得0分。</w:t>
            </w:r>
          </w:p>
        </w:tc>
        <w:tc>
          <w:tcPr>
            <w:tcW w:w="637" w:type="dxa"/>
            <w:noWrap w:val="0"/>
            <w:vAlign w:val="center"/>
          </w:tcPr>
          <w:p w14:paraId="39A3BBCC">
            <w:pPr>
              <w:spacing w:line="300" w:lineRule="exact"/>
              <w:jc w:val="center"/>
              <w:rPr>
                <w:rFonts w:hint="eastAsia" w:ascii="华文楷体" w:hAnsi="华文楷体" w:eastAsia="华文楷体" w:cs="华文楷体"/>
                <w:color w:val="000000"/>
              </w:rPr>
            </w:pPr>
            <w:r>
              <w:rPr>
                <w:rFonts w:hint="eastAsia" w:ascii="华文楷体" w:hAnsi="华文楷体" w:eastAsia="华文楷体" w:cs="华文楷体"/>
                <w:color w:val="000000"/>
              </w:rPr>
              <w:t>10</w:t>
            </w:r>
          </w:p>
        </w:tc>
      </w:tr>
      <w:tr w14:paraId="13B87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2" w:hRule="atLeast"/>
          <w:jc w:val="center"/>
        </w:trPr>
        <w:tc>
          <w:tcPr>
            <w:tcW w:w="1252" w:type="dxa"/>
            <w:vMerge w:val="continue"/>
            <w:noWrap w:val="0"/>
            <w:vAlign w:val="center"/>
          </w:tcPr>
          <w:p w14:paraId="15209D3D">
            <w:pPr>
              <w:spacing w:line="300" w:lineRule="exact"/>
              <w:jc w:val="center"/>
              <w:rPr>
                <w:rFonts w:hint="eastAsia" w:ascii="华文楷体" w:hAnsi="华文楷体" w:eastAsia="华文楷体" w:cs="华文楷体"/>
                <w:color w:val="000000"/>
                <w:szCs w:val="21"/>
              </w:rPr>
            </w:pPr>
          </w:p>
        </w:tc>
        <w:tc>
          <w:tcPr>
            <w:tcW w:w="1614" w:type="dxa"/>
            <w:noWrap w:val="0"/>
            <w:vAlign w:val="center"/>
          </w:tcPr>
          <w:p w14:paraId="583DA27F">
            <w:pPr>
              <w:spacing w:line="300" w:lineRule="exact"/>
              <w:jc w:val="center"/>
              <w:rPr>
                <w:rFonts w:hint="default" w:ascii="华文楷体" w:hAnsi="华文楷体" w:eastAsia="华文楷体" w:cs="华文楷体"/>
                <w:color w:val="000000"/>
                <w:szCs w:val="21"/>
                <w:lang w:val="en-US" w:eastAsia="zh-CN"/>
              </w:rPr>
            </w:pPr>
            <w:r>
              <w:rPr>
                <w:rFonts w:hint="eastAsia" w:ascii="华文楷体" w:hAnsi="华文楷体" w:eastAsia="华文楷体" w:cs="华文楷体"/>
                <w:color w:val="000000"/>
                <w:szCs w:val="21"/>
              </w:rPr>
              <w:t>服务承诺、质量承诺及处罚措施</w:t>
            </w:r>
          </w:p>
        </w:tc>
        <w:tc>
          <w:tcPr>
            <w:tcW w:w="5762" w:type="dxa"/>
            <w:noWrap w:val="0"/>
            <w:vAlign w:val="center"/>
          </w:tcPr>
          <w:p w14:paraId="38031DC2">
            <w:pPr>
              <w:spacing w:line="300" w:lineRule="exact"/>
              <w:rPr>
                <w:rFonts w:hint="eastAsia" w:ascii="华文楷体" w:hAnsi="华文楷体" w:eastAsia="华文楷体" w:cs="华文楷体"/>
                <w:color w:val="000000"/>
                <w:szCs w:val="21"/>
              </w:rPr>
            </w:pPr>
            <w:r>
              <w:rPr>
                <w:rFonts w:hint="eastAsia" w:ascii="华文楷体" w:hAnsi="华文楷体" w:eastAsia="华文楷体" w:cs="华文楷体"/>
                <w:color w:val="000000"/>
                <w:szCs w:val="21"/>
              </w:rPr>
              <w:t>第一个档次：服务质量承诺全面、明确，有具体的违约责任承诺及处罚措施，服务质量保证措施全面可行的，且有完善的质量管理控制的，得15分；</w:t>
            </w:r>
          </w:p>
          <w:p w14:paraId="2FF65EC3">
            <w:pPr>
              <w:spacing w:line="300" w:lineRule="exact"/>
              <w:rPr>
                <w:rFonts w:hint="eastAsia" w:ascii="华文楷体" w:hAnsi="华文楷体" w:eastAsia="华文楷体" w:cs="华文楷体"/>
                <w:color w:val="000000"/>
                <w:szCs w:val="21"/>
              </w:rPr>
            </w:pPr>
            <w:r>
              <w:rPr>
                <w:rFonts w:hint="eastAsia" w:ascii="华文楷体" w:hAnsi="华文楷体" w:eastAsia="华文楷体" w:cs="华文楷体"/>
                <w:color w:val="000000"/>
                <w:szCs w:val="21"/>
              </w:rPr>
              <w:t>第二个档次：服务质量承诺内容全面，有一定的针对性，有具体的处罚措施，且承诺条件好的，得10分；</w:t>
            </w:r>
          </w:p>
          <w:p w14:paraId="0427A6BD">
            <w:pPr>
              <w:spacing w:line="300" w:lineRule="exact"/>
              <w:rPr>
                <w:rFonts w:hint="eastAsia" w:ascii="华文楷体" w:hAnsi="华文楷体" w:eastAsia="华文楷体" w:cs="华文楷体"/>
                <w:color w:val="000000"/>
                <w:szCs w:val="21"/>
              </w:rPr>
            </w:pPr>
            <w:r>
              <w:rPr>
                <w:rFonts w:hint="eastAsia" w:ascii="华文楷体" w:hAnsi="华文楷体" w:eastAsia="华文楷体" w:cs="华文楷体"/>
                <w:color w:val="000000"/>
                <w:szCs w:val="21"/>
              </w:rPr>
              <w:t xml:space="preserve">第三个档次：服务质量承诺内容基本全面，针对性一般，有处罚措施，但承诺条件一般的，得5分； </w:t>
            </w:r>
          </w:p>
          <w:p w14:paraId="4796D503">
            <w:pPr>
              <w:spacing w:line="300" w:lineRule="exact"/>
              <w:rPr>
                <w:rFonts w:hint="eastAsia" w:ascii="华文楷体" w:hAnsi="华文楷体" w:eastAsia="华文楷体" w:cs="华文楷体"/>
                <w:color w:val="000000"/>
                <w:szCs w:val="21"/>
              </w:rPr>
            </w:pPr>
            <w:r>
              <w:rPr>
                <w:rFonts w:hint="eastAsia" w:ascii="华文楷体" w:hAnsi="华文楷体" w:eastAsia="华文楷体" w:cs="华文楷体"/>
                <w:color w:val="000000"/>
                <w:szCs w:val="21"/>
              </w:rPr>
              <w:t>未提供处罚措施的得0分。</w:t>
            </w:r>
          </w:p>
        </w:tc>
        <w:tc>
          <w:tcPr>
            <w:tcW w:w="637" w:type="dxa"/>
            <w:noWrap w:val="0"/>
            <w:vAlign w:val="center"/>
          </w:tcPr>
          <w:p w14:paraId="45342A54">
            <w:pPr>
              <w:spacing w:line="300" w:lineRule="exact"/>
              <w:jc w:val="center"/>
              <w:rPr>
                <w:rFonts w:hint="eastAsia" w:ascii="华文楷体" w:hAnsi="华文楷体" w:eastAsia="华文楷体" w:cs="华文楷体"/>
                <w:color w:val="000000"/>
              </w:rPr>
            </w:pPr>
            <w:r>
              <w:rPr>
                <w:rFonts w:hint="eastAsia" w:ascii="华文楷体" w:hAnsi="华文楷体" w:eastAsia="华文楷体" w:cs="华文楷体"/>
                <w:color w:val="000000"/>
              </w:rPr>
              <w:t>15</w:t>
            </w:r>
          </w:p>
        </w:tc>
      </w:tr>
      <w:tr w14:paraId="02F75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jc w:val="center"/>
        </w:trPr>
        <w:tc>
          <w:tcPr>
            <w:tcW w:w="1252" w:type="dxa"/>
            <w:noWrap w:val="0"/>
            <w:vAlign w:val="center"/>
          </w:tcPr>
          <w:p w14:paraId="4447094A">
            <w:pPr>
              <w:spacing w:line="300" w:lineRule="exact"/>
              <w:rPr>
                <w:rFonts w:hint="eastAsia" w:ascii="华文楷体" w:hAnsi="华文楷体" w:eastAsia="华文楷体" w:cs="华文楷体"/>
                <w:color w:val="000000"/>
              </w:rPr>
            </w:pPr>
            <w:r>
              <w:rPr>
                <w:rFonts w:hint="eastAsia" w:ascii="华文楷体" w:hAnsi="华文楷体" w:eastAsia="华文楷体" w:cs="华文楷体"/>
                <w:color w:val="000000"/>
                <w:lang w:val="en-US" w:eastAsia="zh-CN"/>
              </w:rPr>
              <w:t>3、</w:t>
            </w:r>
            <w:r>
              <w:rPr>
                <w:rFonts w:hint="eastAsia" w:ascii="华文楷体" w:hAnsi="华文楷体" w:eastAsia="华文楷体" w:cs="华文楷体"/>
                <w:color w:val="000000"/>
              </w:rPr>
              <w:t>商务部分（15分）</w:t>
            </w:r>
          </w:p>
        </w:tc>
        <w:tc>
          <w:tcPr>
            <w:tcW w:w="1614" w:type="dxa"/>
            <w:noWrap w:val="0"/>
            <w:vAlign w:val="center"/>
          </w:tcPr>
          <w:p w14:paraId="0FC50594">
            <w:pPr>
              <w:spacing w:line="300" w:lineRule="exact"/>
              <w:jc w:val="center"/>
              <w:rPr>
                <w:rFonts w:hint="eastAsia" w:ascii="华文楷体" w:hAnsi="华文楷体" w:eastAsia="华文楷体" w:cs="华文楷体"/>
                <w:color w:val="000000"/>
                <w:szCs w:val="21"/>
              </w:rPr>
            </w:pPr>
            <w:r>
              <w:rPr>
                <w:rFonts w:hint="eastAsia" w:ascii="华文楷体" w:hAnsi="华文楷体" w:eastAsia="华文楷体" w:cs="华文楷体"/>
                <w:color w:val="000000"/>
                <w:szCs w:val="21"/>
              </w:rPr>
              <w:t>供应商2021年至今同类项目业绩</w:t>
            </w:r>
          </w:p>
        </w:tc>
        <w:tc>
          <w:tcPr>
            <w:tcW w:w="5762" w:type="dxa"/>
            <w:noWrap w:val="0"/>
            <w:vAlign w:val="center"/>
          </w:tcPr>
          <w:p w14:paraId="202E1F5D">
            <w:pPr>
              <w:spacing w:line="300" w:lineRule="exact"/>
              <w:rPr>
                <w:rFonts w:hint="eastAsia" w:ascii="华文楷体" w:hAnsi="华文楷体" w:eastAsia="华文楷体" w:cs="华文楷体"/>
                <w:color w:val="000000"/>
                <w:szCs w:val="21"/>
              </w:rPr>
            </w:pPr>
            <w:r>
              <w:rPr>
                <w:rFonts w:hint="eastAsia" w:ascii="华文楷体" w:hAnsi="华文楷体" w:eastAsia="华文楷体" w:cs="华文楷体"/>
                <w:color w:val="000000"/>
                <w:szCs w:val="21"/>
              </w:rPr>
              <w:t>供应商每提供1个</w:t>
            </w:r>
            <w:r>
              <w:rPr>
                <w:rFonts w:hint="eastAsia" w:ascii="华文楷体" w:hAnsi="华文楷体" w:eastAsia="华文楷体" w:cs="华文楷体"/>
                <w:color w:val="000000"/>
                <w:szCs w:val="21"/>
                <w:lang w:eastAsia="zh-CN"/>
              </w:rPr>
              <w:t>类似服务</w:t>
            </w:r>
            <w:r>
              <w:rPr>
                <w:rFonts w:hint="eastAsia" w:ascii="华文楷体" w:hAnsi="华文楷体" w:eastAsia="华文楷体" w:cs="华文楷体"/>
                <w:color w:val="000000"/>
                <w:szCs w:val="21"/>
              </w:rPr>
              <w:t>业绩得3分，本项最高得15分。（需提供合同或中标（成交）通知书作为证明材料，否则不得分）。</w:t>
            </w:r>
          </w:p>
        </w:tc>
        <w:tc>
          <w:tcPr>
            <w:tcW w:w="637" w:type="dxa"/>
            <w:noWrap w:val="0"/>
            <w:vAlign w:val="center"/>
          </w:tcPr>
          <w:p w14:paraId="3106AA30">
            <w:pPr>
              <w:spacing w:line="300" w:lineRule="exact"/>
              <w:jc w:val="center"/>
              <w:rPr>
                <w:rFonts w:hint="eastAsia" w:ascii="华文楷体" w:hAnsi="华文楷体" w:eastAsia="华文楷体" w:cs="华文楷体"/>
                <w:color w:val="000000"/>
              </w:rPr>
            </w:pPr>
            <w:r>
              <w:rPr>
                <w:rFonts w:hint="eastAsia" w:ascii="华文楷体" w:hAnsi="华文楷体" w:eastAsia="华文楷体" w:cs="华文楷体"/>
                <w:color w:val="000000"/>
              </w:rPr>
              <w:t>15</w:t>
            </w:r>
          </w:p>
        </w:tc>
      </w:tr>
      <w:tr w14:paraId="453DB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8628" w:type="dxa"/>
            <w:gridSpan w:val="3"/>
            <w:noWrap w:val="0"/>
            <w:vAlign w:val="center"/>
          </w:tcPr>
          <w:p w14:paraId="01FF0DBF">
            <w:pPr>
              <w:spacing w:line="300" w:lineRule="exact"/>
              <w:ind w:firstLine="420"/>
              <w:jc w:val="center"/>
              <w:rPr>
                <w:rFonts w:hint="eastAsia" w:ascii="华文楷体" w:hAnsi="华文楷体" w:eastAsia="华文楷体" w:cs="华文楷体"/>
                <w:color w:val="000000"/>
                <w:szCs w:val="21"/>
              </w:rPr>
            </w:pPr>
            <w:r>
              <w:rPr>
                <w:rFonts w:hint="eastAsia" w:ascii="华文楷体" w:hAnsi="华文楷体" w:eastAsia="华文楷体" w:cs="华文楷体"/>
                <w:color w:val="000000"/>
                <w:szCs w:val="21"/>
              </w:rPr>
              <w:t>总分</w:t>
            </w:r>
          </w:p>
        </w:tc>
        <w:tc>
          <w:tcPr>
            <w:tcW w:w="637" w:type="dxa"/>
            <w:noWrap w:val="0"/>
            <w:vAlign w:val="center"/>
          </w:tcPr>
          <w:p w14:paraId="024D4D97">
            <w:pPr>
              <w:spacing w:line="300" w:lineRule="exact"/>
              <w:jc w:val="center"/>
              <w:rPr>
                <w:rFonts w:hint="eastAsia" w:ascii="华文楷体" w:hAnsi="华文楷体" w:eastAsia="华文楷体" w:cs="华文楷体"/>
                <w:color w:val="000000"/>
                <w:szCs w:val="21"/>
              </w:rPr>
            </w:pPr>
            <w:r>
              <w:rPr>
                <w:rFonts w:hint="eastAsia" w:ascii="华文楷体" w:hAnsi="华文楷体" w:eastAsia="华文楷体" w:cs="华文楷体"/>
                <w:color w:val="000000"/>
                <w:szCs w:val="21"/>
              </w:rPr>
              <w:t>100</w:t>
            </w:r>
          </w:p>
        </w:tc>
      </w:tr>
    </w:tbl>
    <w:p w14:paraId="72983BDA">
      <w:pPr>
        <w:pStyle w:val="5"/>
        <w:rPr>
          <w:rFonts w:hint="eastAsia"/>
          <w:lang w:eastAsia="zh-CN"/>
        </w:rPr>
      </w:pPr>
    </w:p>
    <w:p w14:paraId="43B483FA">
      <w:pPr>
        <w:keepNext w:val="0"/>
        <w:keepLines w:val="0"/>
        <w:widowControl/>
        <w:suppressLineNumbers w:val="0"/>
        <w:jc w:val="left"/>
      </w:pPr>
    </w:p>
    <w:p w14:paraId="0BEFB083"/>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楷体">
    <w:panose1 w:val="02010600040101010101"/>
    <w:charset w:val="86"/>
    <w:family w:val="auto"/>
    <w:pitch w:val="default"/>
    <w:sig w:usb0="00000287" w:usb1="080F0000" w:usb2="00000000" w:usb3="00000000" w:csb0="0004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EBB3C91"/>
    <w:multiLevelType w:val="multilevel"/>
    <w:tmpl w:val="3EBB3C91"/>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0"/>
      <w:numFmt w:val="decimal"/>
      <w:pStyle w:val="5"/>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Q1ZTc0NDM1ODQ3ZDBmZjVjZDUzNjlmN2Y4ODAwYWEifQ=="/>
  </w:docVars>
  <w:rsids>
    <w:rsidRoot w:val="59CC030D"/>
    <w:rsid w:val="02141D77"/>
    <w:rsid w:val="02691984"/>
    <w:rsid w:val="037472F8"/>
    <w:rsid w:val="03ED346D"/>
    <w:rsid w:val="042E42B8"/>
    <w:rsid w:val="05B97511"/>
    <w:rsid w:val="08B03E69"/>
    <w:rsid w:val="0B8E3FFD"/>
    <w:rsid w:val="0BA17532"/>
    <w:rsid w:val="0BDC4F6E"/>
    <w:rsid w:val="11576F7C"/>
    <w:rsid w:val="163B09C1"/>
    <w:rsid w:val="1771005C"/>
    <w:rsid w:val="17AE1A29"/>
    <w:rsid w:val="1A306A02"/>
    <w:rsid w:val="1A385198"/>
    <w:rsid w:val="21D27278"/>
    <w:rsid w:val="22590C76"/>
    <w:rsid w:val="23C13183"/>
    <w:rsid w:val="26010C4D"/>
    <w:rsid w:val="267143DF"/>
    <w:rsid w:val="2684130D"/>
    <w:rsid w:val="279D069F"/>
    <w:rsid w:val="2C5518F5"/>
    <w:rsid w:val="2EC36E8A"/>
    <w:rsid w:val="37F30DCD"/>
    <w:rsid w:val="383E384F"/>
    <w:rsid w:val="388042A0"/>
    <w:rsid w:val="3943642A"/>
    <w:rsid w:val="3D946B9A"/>
    <w:rsid w:val="41641CA7"/>
    <w:rsid w:val="41BE5E0E"/>
    <w:rsid w:val="45C87CCF"/>
    <w:rsid w:val="47846D32"/>
    <w:rsid w:val="486D73A7"/>
    <w:rsid w:val="4D1E3BF5"/>
    <w:rsid w:val="4F94559A"/>
    <w:rsid w:val="55694DE8"/>
    <w:rsid w:val="56C86934"/>
    <w:rsid w:val="58DF3AAB"/>
    <w:rsid w:val="59CC030D"/>
    <w:rsid w:val="5AD023FF"/>
    <w:rsid w:val="5F9F0D42"/>
    <w:rsid w:val="649E3780"/>
    <w:rsid w:val="64C6798C"/>
    <w:rsid w:val="6B64178A"/>
    <w:rsid w:val="6BA71E32"/>
    <w:rsid w:val="727F2737"/>
    <w:rsid w:val="755B0927"/>
    <w:rsid w:val="76C74382"/>
    <w:rsid w:val="7CE441D6"/>
    <w:rsid w:val="7D86730E"/>
    <w:rsid w:val="7FCE315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autoRedefine/>
    <w:semiHidden/>
    <w:qFormat/>
    <w:uiPriority w:val="0"/>
  </w:style>
  <w:style w:type="table" w:default="1" w:styleId="3">
    <w:name w:val="Normal Table"/>
    <w:autoRedefin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customStyle="1" w:styleId="5">
    <w:name w:val="标题 5（有编号）（绿盟科技）"/>
    <w:basedOn w:val="1"/>
    <w:next w:val="6"/>
    <w:autoRedefine/>
    <w:qFormat/>
    <w:uiPriority w:val="0"/>
    <w:pPr>
      <w:keepNext/>
      <w:keepLines/>
      <w:numPr>
        <w:ilvl w:val="4"/>
        <w:numId w:val="1"/>
      </w:numPr>
      <w:tabs>
        <w:tab w:val="left" w:pos="0"/>
      </w:tabs>
      <w:spacing w:before="280" w:after="156" w:line="377" w:lineRule="auto"/>
      <w:jc w:val="left"/>
      <w:outlineLvl w:val="4"/>
    </w:pPr>
    <w:rPr>
      <w:rFonts w:ascii="Arial" w:hAnsi="Arial" w:eastAsia="黑体"/>
      <w:b/>
      <w:kern w:val="0"/>
      <w:sz w:val="24"/>
      <w:szCs w:val="28"/>
    </w:rPr>
  </w:style>
  <w:style w:type="paragraph" w:customStyle="1" w:styleId="6">
    <w:name w:val="正文（绿盟科技）"/>
    <w:next w:val="1"/>
    <w:autoRedefine/>
    <w:qFormat/>
    <w:uiPriority w:val="0"/>
    <w:pPr>
      <w:spacing w:line="300" w:lineRule="auto"/>
    </w:pPr>
    <w:rPr>
      <w:rFonts w:ascii="Arial" w:hAnsi="Arial" w:eastAsia="宋体" w:cs="黑体"/>
      <w:sz w:val="21"/>
      <w:szCs w:val="21"/>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848</Words>
  <Characters>879</Characters>
  <Lines>0</Lines>
  <Paragraphs>0</Paragraphs>
  <TotalTime>5</TotalTime>
  <ScaleCrop>false</ScaleCrop>
  <LinksUpToDate>false</LinksUpToDate>
  <CharactersWithSpaces>880</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2023-05-19T06:55:00Z</dcterms:created>
  <dc:creator>Administrator</dc:creator>
  <cp:lastModifiedBy>木香</cp:lastModifiedBy>
  <cp:lastPrinted>2024-02-20T07:24:00Z</cp:lastPrinted>
  <dcterms:modified xsi:type="dcterms:W3CDTF">2024-07-30T05:28:01Z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EF91788F010144B392240AFDDBF2DFA7_13</vt:lpwstr>
  </property>
</Properties>
</file>