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4176"/>
        </w:tabs>
        <w:snapToGrid w:val="0"/>
        <w:spacing w:line="360" w:lineRule="auto"/>
        <w:rPr>
          <w:rFonts w:hint="eastAsia" w:ascii="华文楷体" w:hAnsi="华文楷体" w:eastAsia="华文楷体" w:cs="华文楷体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华文楷体" w:hAnsi="华文楷体" w:eastAsia="华文楷体" w:cs="华文楷体"/>
          <w:b/>
          <w:bCs/>
          <w:color w:val="auto"/>
          <w:sz w:val="28"/>
          <w:szCs w:val="28"/>
          <w:highlight w:val="none"/>
          <w:lang w:val="en-US" w:eastAsia="zh-CN"/>
        </w:rPr>
        <w:t>附件4：安宁市第一人民医院低速冷冻离心机购置项目评分标准</w:t>
      </w:r>
    </w:p>
    <w:p>
      <w:pPr>
        <w:tabs>
          <w:tab w:val="left" w:pos="4176"/>
        </w:tabs>
        <w:snapToGrid w:val="0"/>
        <w:spacing w:line="360" w:lineRule="auto"/>
        <w:rPr>
          <w:rFonts w:hint="eastAsia" w:ascii="仿宋" w:hAnsi="仿宋" w:eastAsia="仿宋" w:cs="仿宋"/>
          <w:b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一、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价格部分评分办法（满分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30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分）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ab/>
      </w:r>
    </w:p>
    <w:p>
      <w:pPr>
        <w:snapToGrid w:val="0"/>
        <w:spacing w:line="360" w:lineRule="auto"/>
        <w:ind w:firstLine="480" w:firstLineChars="200"/>
        <w:rPr>
          <w:rFonts w:hint="eastAsia" w:ascii="仿宋" w:hAnsi="仿宋" w:eastAsia="仿宋" w:cs="仿宋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采用低价优先法计算，即通过本项目</w:t>
      </w:r>
      <w:r>
        <w:rPr>
          <w:rFonts w:hint="eastAsia" w:ascii="仿宋" w:hAnsi="仿宋" w:eastAsia="仿宋" w:cs="仿宋"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资格审查及</w:t>
      </w:r>
      <w:r>
        <w:rPr>
          <w:rFonts w:hint="eastAsia" w:ascii="仿宋" w:hAnsi="仿宋" w:eastAsia="仿宋" w:cs="仿宋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符合性审查且投标价格最低的</w:t>
      </w:r>
      <w:r>
        <w:rPr>
          <w:rFonts w:hint="eastAsia" w:ascii="仿宋" w:hAnsi="仿宋" w:eastAsia="仿宋" w:cs="仿宋"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谈判报价</w:t>
      </w:r>
      <w:r>
        <w:rPr>
          <w:rFonts w:hint="eastAsia" w:ascii="仿宋" w:hAnsi="仿宋" w:eastAsia="仿宋" w:cs="仿宋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为评标基准价，其价格分为满分即</w:t>
      </w:r>
      <w:r>
        <w:rPr>
          <w:rFonts w:hint="eastAsia" w:ascii="仿宋" w:hAnsi="仿宋" w:eastAsia="仿宋" w:cs="仿宋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30</w:t>
      </w:r>
      <w:r>
        <w:rPr>
          <w:rFonts w:hint="eastAsia" w:ascii="仿宋" w:hAnsi="仿宋" w:eastAsia="仿宋" w:cs="仿宋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分。其他</w:t>
      </w:r>
      <w:r>
        <w:rPr>
          <w:rFonts w:hint="eastAsia" w:ascii="仿宋" w:hAnsi="仿宋" w:eastAsia="仿宋" w:cs="仿宋"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谈判</w:t>
      </w:r>
      <w:r>
        <w:rPr>
          <w:rFonts w:hint="eastAsia" w:ascii="仿宋" w:hAnsi="仿宋" w:eastAsia="仿宋" w:cs="仿宋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申请人的价格分统一按照下列公式计算：</w:t>
      </w:r>
    </w:p>
    <w:p>
      <w:pPr>
        <w:snapToGrid w:val="0"/>
        <w:spacing w:line="360" w:lineRule="auto"/>
        <w:ind w:firstLine="480" w:firstLineChars="200"/>
        <w:rPr>
          <w:rFonts w:hint="eastAsia" w:ascii="仿宋" w:hAnsi="仿宋" w:eastAsia="仿宋" w:cs="仿宋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谈判报价得分=（评标基准价／最终谈判报价)×30；</w:t>
      </w:r>
    </w:p>
    <w:p>
      <w:pPr>
        <w:snapToGrid w:val="0"/>
        <w:spacing w:line="360" w:lineRule="auto"/>
        <w:rPr>
          <w:rFonts w:hint="eastAsia" w:ascii="仿宋" w:hAnsi="仿宋" w:eastAsia="仿宋" w:cs="仿宋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二、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技术部分评分办法（满分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60</w:t>
      </w:r>
      <w:r>
        <w:rPr>
          <w:rFonts w:hint="eastAsia" w:ascii="仿宋" w:hAnsi="仿宋" w:eastAsia="仿宋" w:cs="仿宋"/>
          <w:b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分）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6"/>
        <w:gridCol w:w="1417"/>
        <w:gridCol w:w="73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61" w:hRule="atLeast"/>
          <w:jc w:val="center"/>
        </w:trPr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条款号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评分项目</w:t>
            </w:r>
          </w:p>
        </w:tc>
        <w:tc>
          <w:tcPr>
            <w:tcW w:w="7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评分标准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7" w:hRule="atLeast"/>
          <w:jc w:val="center"/>
        </w:trPr>
        <w:tc>
          <w:tcPr>
            <w:tcW w:w="10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技术参数评审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60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分）</w:t>
            </w:r>
          </w:p>
        </w:tc>
        <w:tc>
          <w:tcPr>
            <w:tcW w:w="737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（1）所投设备主要技术参数、重要性能指标以及主要部件的结构、选材完全满足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采购需求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的，得基准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60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分；</w:t>
            </w:r>
          </w:p>
          <w:p>
            <w:pPr>
              <w:spacing w:line="360" w:lineRule="auto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（2）所投产品技术参数有负偏离或漏项的每项扣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分，扣完为止。</w:t>
            </w:r>
          </w:p>
          <w:p>
            <w:pPr>
              <w:spacing w:line="360" w:lineRule="auto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）技术参数内要求提供的制造厂商提供的技术参数资料（包括检验报告、认证证书等）或彩页等资料与“技术规格偏离表”内的参数指标不相符（技术指标性参数一致，描述性参数可不一致），又未加以说明的每项扣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分。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  <w:p>
            <w:pPr>
              <w:spacing w:line="360" w:lineRule="auto"/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）若有重大偏差由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谈判小组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决定是否接受其投标。</w:t>
            </w:r>
          </w:p>
        </w:tc>
      </w:tr>
    </w:tbl>
    <w:p>
      <w:pPr>
        <w:spacing w:line="360" w:lineRule="auto"/>
        <w:rPr>
          <w:rFonts w:hint="eastAsia" w:ascii="仿宋" w:hAnsi="仿宋" w:eastAsia="仿宋" w:cs="仿宋"/>
          <w:b w:val="0"/>
          <w:bCs w:val="0"/>
          <w:color w:val="000000" w:themeColor="text1"/>
          <w:kern w:val="2"/>
          <w:sz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24"/>
          <w:highlight w:val="none"/>
          <w:lang w:eastAsia="zh-CN"/>
          <w14:textFill>
            <w14:solidFill>
              <w14:schemeClr w14:val="tx1"/>
            </w14:solidFill>
          </w14:textFill>
        </w:rPr>
        <w:t>三、</w:t>
      </w:r>
      <w:r>
        <w:rPr>
          <w:rFonts w:hint="eastAsia" w:ascii="仿宋" w:hAnsi="仿宋" w:eastAsia="仿宋" w:cs="仿宋"/>
          <w:b/>
          <w:bCs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商务部分：（满分</w:t>
      </w:r>
      <w:r>
        <w:rPr>
          <w:rFonts w:hint="eastAsia" w:ascii="仿宋" w:hAnsi="仿宋" w:eastAsia="仿宋" w:cs="仿宋"/>
          <w:b/>
          <w:bCs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10</w:t>
      </w:r>
      <w:r>
        <w:rPr>
          <w:rFonts w:hint="eastAsia" w:ascii="仿宋" w:hAnsi="仿宋" w:eastAsia="仿宋" w:cs="仿宋"/>
          <w:b/>
          <w:bCs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分）</w:t>
      </w:r>
    </w:p>
    <w:tbl>
      <w:tblPr>
        <w:tblStyle w:val="5"/>
        <w:tblW w:w="982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9"/>
        <w:gridCol w:w="1424"/>
        <w:gridCol w:w="73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25" w:hRule="atLeast"/>
          <w:jc w:val="center"/>
        </w:trPr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  <w:t>条款号</w:t>
            </w: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  <w:t>评分项目</w:t>
            </w:r>
          </w:p>
        </w:tc>
        <w:tc>
          <w:tcPr>
            <w:tcW w:w="7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highlight w:val="none"/>
              </w:rPr>
              <w:t>评分标准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  <w:jc w:val="center"/>
        </w:trPr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服务方案</w:t>
            </w:r>
          </w:p>
          <w:p>
            <w:pPr>
              <w:keepNext w:val="0"/>
              <w:keepLines w:val="0"/>
              <w:widowControl w:val="0"/>
              <w:suppressLineNumbers w:val="0"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（5</w:t>
            </w: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分)</w:t>
            </w:r>
          </w:p>
        </w:tc>
        <w:tc>
          <w:tcPr>
            <w:tcW w:w="7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napToGrid w:val="0"/>
              <w:spacing w:line="360" w:lineRule="auto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服务内容及承诺特别全面，服务响应及到现场时间及时，有具体的保障措施且合理、可行、能较好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地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满足本项目要求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或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优于采购人要求的，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有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提供的本地化服务保障措施及承诺较好的得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分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；</w:t>
            </w:r>
          </w:p>
          <w:p>
            <w:pPr>
              <w:widowControl w:val="0"/>
              <w:snapToGrid w:val="0"/>
              <w:spacing w:line="360" w:lineRule="auto"/>
              <w:textAlignment w:val="auto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服务内容及承诺较全面，有书面计划和可行的措施，响应以及到现场时间较及时，有具体的保证措施且合理、可行，能基本满足本项目要求，提供的本地化服务保障措施及承诺一般的得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分；</w:t>
            </w:r>
          </w:p>
          <w:p>
            <w:pPr>
              <w:widowControl w:val="0"/>
              <w:snapToGrid w:val="0"/>
              <w:spacing w:line="360" w:lineRule="auto"/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售后服务内容及承诺一般，响应以及到现场时间较慢，有具体的保证措施且基本合理、可行，能基本满足本项目要求，提供的本地化服务保障措施及承诺较差的得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</w:rPr>
              <w:t>分。</w:t>
            </w:r>
          </w:p>
          <w:p>
            <w:pPr>
              <w:widowControl w:val="0"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无售后服务内容及承诺的得0分；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010" w:hRule="atLeast"/>
          <w:jc w:val="center"/>
        </w:trPr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2</w:t>
            </w: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napToGrid w:val="0"/>
              <w:spacing w:line="360" w:lineRule="auto"/>
              <w:ind w:firstLine="240" w:firstLineChars="100"/>
              <w:jc w:val="left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业绩</w:t>
            </w:r>
          </w:p>
          <w:p>
            <w:pPr>
              <w:widowControl w:val="0"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（5分）</w:t>
            </w:r>
          </w:p>
        </w:tc>
        <w:tc>
          <w:tcPr>
            <w:tcW w:w="7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snapToGrid w:val="0"/>
              <w:spacing w:line="360" w:lineRule="auto"/>
              <w:jc w:val="left"/>
              <w:rPr>
                <w:rFonts w:hint="eastAsia" w:ascii="仿宋" w:hAnsi="仿宋" w:eastAsia="仿宋" w:cs="仿宋"/>
                <w:b w:val="0"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提供2021年6月1日至今具有类似供货业绩，每提供一个有效业绩得1分，满分5分。（有效业绩需提供中标通知书或合同扫描件或发票，中标通知书或合同扫描件或发票中的采购人、单价、金额等关键信息不得涂盖，有效业绩必须是谈判申请人（本公司）与本项目采购货物相同的供货业绩）</w:t>
            </w:r>
            <w:bookmarkStart w:id="0" w:name="_GoBack"/>
            <w:bookmarkEnd w:id="0"/>
          </w:p>
        </w:tc>
      </w:tr>
    </w:tbl>
    <w:p>
      <w:pPr>
        <w:pStyle w:val="2"/>
        <w:rPr>
          <w:rFonts w:hint="eastAsia"/>
          <w:lang w:eastAsia="zh-CN"/>
        </w:rPr>
      </w:pPr>
    </w:p>
    <w:p>
      <w:pPr>
        <w:keepNext w:val="0"/>
        <w:keepLines w:val="0"/>
        <w:widowControl/>
        <w:suppressLineNumbers w:val="0"/>
        <w:jc w:val="left"/>
      </w:pP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EBB3C91"/>
    <w:multiLevelType w:val="multilevel"/>
    <w:tmpl w:val="3EBB3C91"/>
    <w:lvl w:ilvl="0" w:tentative="0">
      <w:start w:val="1"/>
      <w:numFmt w:val="chineseCountingThousand"/>
      <w:suff w:val="space"/>
      <w:lvlText w:val="%1. "/>
      <w:lvlJc w:val="left"/>
      <w:pPr>
        <w:ind w:left="907" w:hanging="907"/>
      </w:pPr>
      <w:rPr>
        <w:rFonts w:hint="eastAsia"/>
      </w:rPr>
    </w:lvl>
    <w:lvl w:ilvl="1" w:tentative="0">
      <w:start w:val="1"/>
      <w:numFmt w:val="decimal"/>
      <w:isLgl/>
      <w:suff w:val="space"/>
      <w:lvlText w:val="%1.%2 "/>
      <w:lvlJc w:val="left"/>
      <w:pPr>
        <w:ind w:left="794" w:hanging="794"/>
      </w:pPr>
    </w:lvl>
    <w:lvl w:ilvl="2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3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4" w:tentative="0">
      <w:start w:val="0"/>
      <w:numFmt w:val="decimal"/>
      <w:pStyle w:val="2"/>
      <w:lvlText w:val=""/>
      <w:lvlJc w:val="left"/>
      <w:rPr>
        <w:rFonts w:cs="Times New Roman"/>
      </w:rPr>
    </w:lvl>
    <w:lvl w:ilvl="5" w:tentative="0">
      <w:start w:val="0"/>
      <w:numFmt w:val="decimal"/>
      <w:lvlText w:val=""/>
      <w:lvlJc w:val="left"/>
      <w:rPr>
        <w:rFonts w:cs="Times New Roman"/>
      </w:rPr>
    </w:lvl>
    <w:lvl w:ilvl="6" w:tentative="0">
      <w:start w:val="0"/>
      <w:numFmt w:val="decimal"/>
      <w:lvlText w:val=""/>
      <w:lvlJc w:val="left"/>
      <w:rPr>
        <w:rFonts w:cs="Times New Roman"/>
      </w:rPr>
    </w:lvl>
    <w:lvl w:ilvl="7" w:tentative="0">
      <w:start w:val="0"/>
      <w:numFmt w:val="decimal"/>
      <w:lvlText w:val=""/>
      <w:lvlJc w:val="left"/>
      <w:rPr>
        <w:rFonts w:cs="Times New Roman"/>
      </w:rPr>
    </w:lvl>
    <w:lvl w:ilvl="8" w:tentative="0">
      <w:start w:val="0"/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Q1ZTc0NDM1ODQ3ZDBmZjVjZDUzNjlmN2Y4ODAwYWEifQ=="/>
  </w:docVars>
  <w:rsids>
    <w:rsidRoot w:val="59CC030D"/>
    <w:rsid w:val="02141D77"/>
    <w:rsid w:val="02691984"/>
    <w:rsid w:val="037472F8"/>
    <w:rsid w:val="03ED346D"/>
    <w:rsid w:val="042E42B8"/>
    <w:rsid w:val="05B97511"/>
    <w:rsid w:val="0B8E3FFD"/>
    <w:rsid w:val="0BA17532"/>
    <w:rsid w:val="0BDC4F6E"/>
    <w:rsid w:val="11576F7C"/>
    <w:rsid w:val="1771005C"/>
    <w:rsid w:val="17AE1A29"/>
    <w:rsid w:val="1A306A02"/>
    <w:rsid w:val="1A385198"/>
    <w:rsid w:val="21D27278"/>
    <w:rsid w:val="22590C76"/>
    <w:rsid w:val="26010C4D"/>
    <w:rsid w:val="267143DF"/>
    <w:rsid w:val="279D069F"/>
    <w:rsid w:val="2C5518F5"/>
    <w:rsid w:val="383E384F"/>
    <w:rsid w:val="388042A0"/>
    <w:rsid w:val="3943642A"/>
    <w:rsid w:val="3D946B9A"/>
    <w:rsid w:val="41641CA7"/>
    <w:rsid w:val="41BE5E0E"/>
    <w:rsid w:val="45C87CCF"/>
    <w:rsid w:val="47846D32"/>
    <w:rsid w:val="486D73A7"/>
    <w:rsid w:val="4D1E3BF5"/>
    <w:rsid w:val="4F94559A"/>
    <w:rsid w:val="55694DE8"/>
    <w:rsid w:val="56C86934"/>
    <w:rsid w:val="58DF3AAB"/>
    <w:rsid w:val="59CC030D"/>
    <w:rsid w:val="5AD023FF"/>
    <w:rsid w:val="5F9F0D42"/>
    <w:rsid w:val="649E3780"/>
    <w:rsid w:val="64C6798C"/>
    <w:rsid w:val="6A324B2D"/>
    <w:rsid w:val="6B64178A"/>
    <w:rsid w:val="6BA71E32"/>
    <w:rsid w:val="727F2737"/>
    <w:rsid w:val="7D86730E"/>
    <w:rsid w:val="7FCE315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标题 5（有编号）（绿盟科技）"/>
    <w:basedOn w:val="1"/>
    <w:next w:val="3"/>
    <w:autoRedefine/>
    <w:qFormat/>
    <w:uiPriority w:val="0"/>
    <w:pPr>
      <w:keepNext/>
      <w:keepLines/>
      <w:numPr>
        <w:ilvl w:val="4"/>
        <w:numId w:val="1"/>
      </w:numPr>
      <w:tabs>
        <w:tab w:val="left" w:pos="0"/>
      </w:tabs>
      <w:spacing w:before="280" w:after="156" w:line="377" w:lineRule="auto"/>
      <w:jc w:val="left"/>
      <w:outlineLvl w:val="4"/>
    </w:pPr>
    <w:rPr>
      <w:rFonts w:ascii="Arial" w:hAnsi="Arial" w:eastAsia="黑体"/>
      <w:b/>
      <w:kern w:val="0"/>
      <w:sz w:val="24"/>
      <w:szCs w:val="28"/>
    </w:rPr>
  </w:style>
  <w:style w:type="paragraph" w:customStyle="1" w:styleId="3">
    <w:name w:val="正文（绿盟科技）"/>
    <w:next w:val="1"/>
    <w:autoRedefine/>
    <w:qFormat/>
    <w:uiPriority w:val="0"/>
    <w:pPr>
      <w:spacing w:line="300" w:lineRule="auto"/>
    </w:pPr>
    <w:rPr>
      <w:rFonts w:ascii="Arial" w:hAnsi="Arial" w:eastAsia="宋体" w:cs="黑体"/>
      <w:sz w:val="21"/>
      <w:szCs w:val="21"/>
      <w:lang w:val="en-US" w:eastAsia="zh-CN" w:bidi="ar-SA"/>
    </w:rPr>
  </w:style>
  <w:style w:type="paragraph" w:styleId="4">
    <w:name w:val="Body Text"/>
    <w:basedOn w:val="1"/>
    <w:qFormat/>
    <w:uiPriority w:val="0"/>
    <w:pPr>
      <w:spacing w:after="12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979</Words>
  <Characters>993</Characters>
  <Lines>0</Lines>
  <Paragraphs>0</Paragraphs>
  <TotalTime>13</TotalTime>
  <ScaleCrop>false</ScaleCrop>
  <LinksUpToDate>false</LinksUpToDate>
  <CharactersWithSpaces>995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2023-05-19T06:55:00Z</dcterms:created>
  <dc:creator>Administrator</dc:creator>
  <cp:lastModifiedBy>木香</cp:lastModifiedBy>
  <cp:lastPrinted>2024-02-20T07:24:00Z</cp:lastPrinted>
  <dcterms:modified xsi:type="dcterms:W3CDTF">2024-06-19T02:34:33Z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EF91788F010144B392240AFDDBF2DFA7_13</vt:lpwstr>
  </property>
</Properties>
</file>