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0" w:name="_Toc28373"/>
      <w:bookmarkStart w:id="1" w:name="_Toc1953"/>
      <w:bookmarkStart w:id="2" w:name="_Toc27375"/>
      <w:bookmarkStart w:id="3" w:name="_Toc31028"/>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安宁市第一人民医院特殊气体采购项目(2024-2027)</w:t>
      </w:r>
      <w:bookmarkEnd w:id="0"/>
      <w:bookmarkEnd w:id="1"/>
      <w:bookmarkEnd w:id="2"/>
      <w:bookmarkEnd w:id="3"/>
    </w:p>
    <w:p>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pPr>
        <w:pageBreakBefore w:val="0"/>
        <w:topLinePunct w:val="0"/>
        <w:bidi w:val="0"/>
        <w:snapToGrid/>
        <w:spacing w:line="240" w:lineRule="auto"/>
        <w:jc w:val="center"/>
        <w:outlineLvl w:val="0"/>
        <w:rPr>
          <w:rFonts w:hint="default" w:ascii="华文楷体" w:hAnsi="华文楷体" w:eastAsia="华文楷体" w:cs="华文楷体"/>
          <w:b/>
          <w:bCs/>
          <w:color w:val="000000" w:themeColor="text1"/>
          <w:sz w:val="28"/>
          <w:szCs w:val="28"/>
          <w:lang w:val="en-US" w:eastAsia="zh-CN"/>
          <w14:textFill>
            <w14:solidFill>
              <w14:schemeClr w14:val="tx1"/>
            </w14:solidFill>
          </w14:textFill>
        </w:rPr>
      </w:pPr>
      <w:bookmarkStart w:id="4" w:name="_Toc17988"/>
      <w:bookmarkStart w:id="5" w:name="_Toc5508"/>
      <w:bookmarkStart w:id="6" w:name="_Toc22156"/>
      <w:bookmarkStart w:id="7" w:name="_Toc9230"/>
      <w:bookmarkStart w:id="8" w:name="_Toc20741"/>
      <w:bookmarkStart w:id="9" w:name="_Toc22227"/>
      <w:bookmarkStart w:id="10" w:name="_Toc11021"/>
      <w:bookmarkStart w:id="11" w:name="_Toc25108"/>
      <w:r>
        <w:rPr>
          <w:rFonts w:hint="eastAsia" w:ascii="华文楷体" w:hAnsi="华文楷体" w:eastAsia="华文楷体" w:cs="华文楷体"/>
          <w:b/>
          <w:bCs/>
          <w:color w:val="000000" w:themeColor="text1"/>
          <w:sz w:val="28"/>
          <w:szCs w:val="28"/>
          <w14:textFill>
            <w14:solidFill>
              <w14:schemeClr w14:val="tx1"/>
            </w14:solidFill>
          </w14:textFill>
        </w:rPr>
        <w:t>项目编号：</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ANYGT</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YNTP</w:t>
      </w:r>
      <w:r>
        <w:rPr>
          <w:rFonts w:hint="eastAsia" w:ascii="华文楷体" w:hAnsi="华文楷体" w:eastAsia="华文楷体" w:cs="华文楷体"/>
          <w:b/>
          <w:bCs/>
          <w:color w:val="000000" w:themeColor="text1"/>
          <w:sz w:val="32"/>
          <w:szCs w:val="32"/>
          <w:lang w:eastAsia="zh-CN"/>
          <w14:textFill>
            <w14:solidFill>
              <w14:schemeClr w14:val="tx1"/>
            </w14:solidFill>
          </w14:textFill>
        </w:rPr>
        <w:t>-</w:t>
      </w:r>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2024N</w:t>
      </w:r>
      <w:bookmarkEnd w:id="4"/>
      <w:bookmarkEnd w:id="5"/>
      <w:bookmarkEnd w:id="6"/>
      <w:bookmarkEnd w:id="7"/>
      <w:bookmarkEnd w:id="8"/>
      <w:bookmarkEnd w:id="9"/>
      <w:bookmarkEnd w:id="10"/>
      <w:r>
        <w:rPr>
          <w:rFonts w:hint="eastAsia" w:ascii="华文楷体" w:hAnsi="华文楷体" w:eastAsia="华文楷体" w:cs="华文楷体"/>
          <w:b/>
          <w:bCs/>
          <w:color w:val="000000" w:themeColor="text1"/>
          <w:sz w:val="32"/>
          <w:szCs w:val="32"/>
          <w:lang w:val="en-US" w:eastAsia="zh-CN"/>
          <w14:textFill>
            <w14:solidFill>
              <w14:schemeClr w14:val="tx1"/>
            </w14:solidFill>
          </w14:textFill>
        </w:rPr>
        <w:t>67</w:t>
      </w:r>
      <w:bookmarkEnd w:id="1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bidi w:val="0"/>
        <w:snapToGrid/>
        <w:spacing w:line="240" w:lineRule="auto"/>
        <w:jc w:val="center"/>
        <w:outlineLvl w:val="0"/>
        <w:rPr>
          <w:rFonts w:hint="eastAsia" w:ascii="华文楷体" w:hAnsi="华文楷体" w:eastAsia="华文楷体" w:cs="华文楷体"/>
          <w:b/>
          <w:bCs/>
          <w:color w:val="000000" w:themeColor="text1"/>
          <w:sz w:val="84"/>
          <w:szCs w:val="84"/>
          <w14:textFill>
            <w14:solidFill>
              <w14:schemeClr w14:val="tx1"/>
            </w14:solidFill>
          </w14:textFill>
        </w:rPr>
      </w:pPr>
      <w:bookmarkStart w:id="12" w:name="_Toc6444"/>
      <w:bookmarkStart w:id="13" w:name="_Toc7654"/>
      <w:bookmarkStart w:id="14" w:name="_Toc23534"/>
      <w:bookmarkStart w:id="15" w:name="_Toc17121"/>
      <w:bookmarkStart w:id="16" w:name="_Toc30971"/>
      <w:bookmarkStart w:id="17" w:name="_Toc1134"/>
      <w:bookmarkStart w:id="18" w:name="_Toc3978"/>
      <w:bookmarkStart w:id="19" w:name="_Toc31006"/>
      <w:r>
        <w:rPr>
          <w:rFonts w:hint="eastAsia" w:ascii="华文楷体" w:hAnsi="华文楷体" w:eastAsia="华文楷体" w:cs="华文楷体"/>
          <w:b/>
          <w:bCs/>
          <w:color w:val="000000" w:themeColor="text1"/>
          <w:sz w:val="84"/>
          <w:szCs w:val="84"/>
          <w:lang w:eastAsia="zh-CN"/>
          <w14:textFill>
            <w14:solidFill>
              <w14:schemeClr w14:val="tx1"/>
            </w14:solidFill>
          </w14:textFill>
        </w:rPr>
        <w:t>院内谈判响应</w:t>
      </w:r>
      <w:r>
        <w:rPr>
          <w:rFonts w:hint="eastAsia" w:ascii="华文楷体" w:hAnsi="华文楷体" w:eastAsia="华文楷体" w:cs="华文楷体"/>
          <w:b/>
          <w:bCs/>
          <w:color w:val="000000" w:themeColor="text1"/>
          <w:sz w:val="84"/>
          <w:szCs w:val="84"/>
          <w14:textFill>
            <w14:solidFill>
              <w14:schemeClr w14:val="tx1"/>
            </w14:solidFill>
          </w14:textFill>
        </w:rPr>
        <w:t>文件</w:t>
      </w:r>
      <w:bookmarkEnd w:id="12"/>
      <w:bookmarkEnd w:id="13"/>
      <w:bookmarkEnd w:id="14"/>
      <w:bookmarkEnd w:id="15"/>
      <w:bookmarkEnd w:id="16"/>
      <w:bookmarkEnd w:id="17"/>
      <w:bookmarkEnd w:id="18"/>
      <w:bookmarkEnd w:id="19"/>
    </w:p>
    <w:p>
      <w:pPr>
        <w:pageBreakBefore w:val="0"/>
        <w:topLinePunct w:val="0"/>
        <w:bidi w:val="0"/>
        <w:snapToGrid/>
        <w:spacing w:line="240" w:lineRule="auto"/>
        <w:jc w:val="center"/>
        <w:rPr>
          <w:rFonts w:hint="eastAsia" w:ascii="华文楷体" w:hAnsi="华文楷体" w:eastAsia="华文楷体" w:cs="华文楷体"/>
          <w:b/>
          <w:bCs/>
          <w:color w:val="000000" w:themeColor="text1"/>
          <w:sz w:val="32"/>
          <w:szCs w:val="32"/>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申请</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p>
    <w:p>
      <w:pPr>
        <w:pStyle w:val="8"/>
        <w:pageBreakBefore w:val="0"/>
        <w:topLinePunct w:val="0"/>
        <w:bidi w:val="0"/>
        <w:snapToGrid/>
        <w:spacing w:line="240" w:lineRule="auto"/>
        <w:rPr>
          <w:rFonts w:hint="eastAsia" w:ascii="华文楷体" w:hAnsi="华文楷体" w:eastAsia="华文楷体" w:cs="华文楷体"/>
          <w:color w:val="000000" w:themeColor="text1"/>
          <w14:textFill>
            <w14:solidFill>
              <w14:schemeClr w14:val="tx1"/>
            </w14:solidFill>
          </w14:textFill>
        </w:rPr>
      </w:pPr>
    </w:p>
    <w:p>
      <w:pPr>
        <w:pageBreakBefore w:val="0"/>
        <w:topLinePunct w:val="0"/>
        <w:bidi w:val="0"/>
        <w:snapToGrid/>
        <w:spacing w:line="240" w:lineRule="auto"/>
        <w:rPr>
          <w:rFonts w:hint="eastAsia" w:ascii="华文楷体" w:hAnsi="华文楷体" w:eastAsia="华文楷体" w:cs="华文楷体"/>
          <w:b/>
          <w:bCs/>
          <w:color w:val="000000" w:themeColor="text1"/>
          <w:sz w:val="24"/>
          <w:szCs w:val="24"/>
          <w14:textFill>
            <w14:solidFill>
              <w14:schemeClr w14:val="tx1"/>
            </w14:solidFill>
          </w14:textFill>
        </w:rPr>
      </w:pPr>
      <w:bookmarkStart w:id="20" w:name="_Toc14917"/>
      <w:bookmarkEnd w:id="20"/>
      <w:bookmarkStart w:id="21" w:name="_Toc184"/>
      <w:bookmarkEnd w:id="21"/>
    </w:p>
    <w:p>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法定代表人(负责人)或其委托代理人：</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(签字)</w:t>
      </w:r>
    </w:p>
    <w:p>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pPr>
            <w:pStyle w:val="13"/>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_Toc31028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安宁市第一人民医院特殊气体采购项目(2024-2027)</w:t>
          </w:r>
          <w:r>
            <w:tab/>
          </w:r>
          <w:r>
            <w:fldChar w:fldCharType="begin"/>
          </w:r>
          <w:r>
            <w:instrText xml:space="preserve"> PAGEREF _Toc31028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_Toc25108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rPr>
            <w:t>项目编号：</w:t>
          </w:r>
          <w:r>
            <w:rPr>
              <w:rFonts w:hint="eastAsia" w:ascii="华文楷体" w:hAnsi="华文楷体" w:eastAsia="华文楷体" w:cs="华文楷体"/>
              <w:bCs/>
              <w:szCs w:val="32"/>
              <w:lang w:val="en-US" w:eastAsia="zh-CN"/>
            </w:rPr>
            <w:t>ANYGT</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YNTP</w:t>
          </w:r>
          <w:r>
            <w:rPr>
              <w:rFonts w:hint="eastAsia" w:ascii="华文楷体" w:hAnsi="华文楷体" w:eastAsia="华文楷体" w:cs="华文楷体"/>
              <w:bCs/>
              <w:szCs w:val="32"/>
              <w:lang w:eastAsia="zh-CN"/>
            </w:rPr>
            <w:t>-</w:t>
          </w:r>
          <w:r>
            <w:rPr>
              <w:rFonts w:hint="eastAsia" w:ascii="华文楷体" w:hAnsi="华文楷体" w:eastAsia="华文楷体" w:cs="华文楷体"/>
              <w:bCs/>
              <w:szCs w:val="32"/>
              <w:lang w:val="en-US" w:eastAsia="zh-CN"/>
            </w:rPr>
            <w:t>2024N67</w:t>
          </w:r>
          <w:r>
            <w:tab/>
          </w:r>
          <w:r>
            <w:fldChar w:fldCharType="begin"/>
          </w:r>
          <w:r>
            <w:instrText xml:space="preserve"> PAGEREF _Toc25108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_Toc31006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84"/>
              <w:lang w:eastAsia="zh-CN"/>
            </w:rPr>
            <w:t>院内谈判响应</w:t>
          </w:r>
          <w:r>
            <w:rPr>
              <w:rFonts w:hint="eastAsia" w:ascii="华文楷体" w:hAnsi="华文楷体" w:eastAsia="华文楷体" w:cs="华文楷体"/>
              <w:bCs/>
              <w:szCs w:val="84"/>
            </w:rPr>
            <w:t>文件</w:t>
          </w:r>
          <w:r>
            <w:tab/>
          </w:r>
          <w:r>
            <w:fldChar w:fldCharType="begin"/>
          </w:r>
          <w:r>
            <w:instrText xml:space="preserve"> PAGEREF _Toc31006 \h </w:instrText>
          </w:r>
          <w:r>
            <w:fldChar w:fldCharType="separate"/>
          </w:r>
          <w:r>
            <w:t>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_Toc946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一、开标一览表</w:t>
          </w:r>
          <w:r>
            <w:tab/>
          </w:r>
          <w:r>
            <w:fldChar w:fldCharType="begin"/>
          </w:r>
          <w:r>
            <w:instrText xml:space="preserve"> PAGEREF _Toc946 \h </w:instrText>
          </w:r>
          <w:r>
            <w:fldChar w:fldCharType="separate"/>
          </w:r>
          <w:r>
            <w:t>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_Toc26314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二、响应函</w:t>
          </w:r>
          <w:r>
            <w:tab/>
          </w:r>
          <w:r>
            <w:fldChar w:fldCharType="begin"/>
          </w:r>
          <w:r>
            <w:instrText xml:space="preserve"> PAGEREF _Toc26314 \h </w:instrText>
          </w:r>
          <w:r>
            <w:fldChar w:fldCharType="separate"/>
          </w:r>
          <w:r>
            <w:t>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_Toc7988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三、响应产品技术参数说明</w:t>
          </w:r>
          <w:r>
            <w:tab/>
          </w:r>
          <w:r>
            <w:fldChar w:fldCharType="begin"/>
          </w:r>
          <w:r>
            <w:instrText xml:space="preserve"> PAGEREF _Toc7988 \h </w:instrText>
          </w:r>
          <w:r>
            <w:fldChar w:fldCharType="separate"/>
          </w:r>
          <w:r>
            <w:t>6</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_Toc21075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zh-CN" w:eastAsia="zh-CN" w:bidi="ar-SA"/>
            </w:rPr>
            <w:t>四、响应人信息表</w:t>
          </w:r>
          <w:r>
            <w:tab/>
          </w:r>
          <w:r>
            <w:fldChar w:fldCharType="begin"/>
          </w:r>
          <w:r>
            <w:instrText xml:space="preserve"> PAGEREF _Toc21075 \h </w:instrText>
          </w:r>
          <w:r>
            <w:fldChar w:fldCharType="separate"/>
          </w:r>
          <w:r>
            <w:t>7</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_Toc24467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五、法定代表人(负责人)身份证明书</w:t>
          </w:r>
          <w:r>
            <w:tab/>
          </w:r>
          <w:r>
            <w:fldChar w:fldCharType="begin"/>
          </w:r>
          <w:r>
            <w:instrText xml:space="preserve"> PAGEREF _Toc24467 \h </w:instrText>
          </w:r>
          <w:r>
            <w:fldChar w:fldCharType="separate"/>
          </w:r>
          <w:r>
            <w:t>8</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_Toc20713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六、法定代表人（负责人）授权委托书</w:t>
          </w:r>
          <w:r>
            <w:tab/>
          </w:r>
          <w:r>
            <w:fldChar w:fldCharType="begin"/>
          </w:r>
          <w:r>
            <w:instrText xml:space="preserve"> PAGEREF _Toc20713 \h </w:instrText>
          </w:r>
          <w:r>
            <w:fldChar w:fldCharType="separate"/>
          </w:r>
          <w:r>
            <w:t>9</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_Toc19159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七、质量保证书</w:t>
          </w:r>
          <w:r>
            <w:tab/>
          </w:r>
          <w:r>
            <w:fldChar w:fldCharType="begin"/>
          </w:r>
          <w:r>
            <w:instrText xml:space="preserve"> PAGEREF _Toc19159 \h </w:instrText>
          </w:r>
          <w:r>
            <w:fldChar w:fldCharType="separate"/>
          </w:r>
          <w:r>
            <w:t>10</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_Toc26534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八、响应人资质文件</w:t>
          </w:r>
          <w:r>
            <w:tab/>
          </w:r>
          <w:r>
            <w:fldChar w:fldCharType="begin"/>
          </w:r>
          <w:r>
            <w:instrText xml:space="preserve"> PAGEREF _Toc26534 \h </w:instrText>
          </w:r>
          <w:r>
            <w:fldChar w:fldCharType="separate"/>
          </w:r>
          <w:r>
            <w:t>11</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_Toc21535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九、产品生产厂家及产品资质</w:t>
          </w:r>
          <w:r>
            <w:tab/>
          </w:r>
          <w:r>
            <w:fldChar w:fldCharType="begin"/>
          </w:r>
          <w:r>
            <w:instrText xml:space="preserve"> PAGEREF _Toc21535 \h </w:instrText>
          </w:r>
          <w:r>
            <w:fldChar w:fldCharType="separate"/>
          </w:r>
          <w:r>
            <w:t>12</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_Toc24052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十、近三年类似供货业绩</w:t>
          </w:r>
          <w:r>
            <w:tab/>
          </w:r>
          <w:r>
            <w:fldChar w:fldCharType="begin"/>
          </w:r>
          <w:r>
            <w:instrText xml:space="preserve"> PAGEREF _Toc24052 \h </w:instrText>
          </w:r>
          <w:r>
            <w:fldChar w:fldCharType="separate"/>
          </w:r>
          <w:r>
            <w:t>13</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_Toc19174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十一、服务方案</w:t>
          </w:r>
          <w:r>
            <w:tab/>
          </w:r>
          <w:r>
            <w:fldChar w:fldCharType="begin"/>
          </w:r>
          <w:r>
            <w:instrText xml:space="preserve"> PAGEREF _Toc19174 \h </w:instrText>
          </w:r>
          <w:r>
            <w:fldChar w:fldCharType="separate"/>
          </w:r>
          <w:r>
            <w:t>14</w:t>
          </w:r>
          <w:r>
            <w:fldChar w:fldCharType="end"/>
          </w:r>
          <w:r>
            <w:rPr>
              <w:rFonts w:hint="eastAsia" w:ascii="华文楷体" w:hAnsi="华文楷体" w:eastAsia="华文楷体" w:cs="华文楷体"/>
              <w:szCs w:val="28"/>
            </w:rPr>
            <w:fldChar w:fldCharType="end"/>
          </w:r>
        </w:p>
        <w:p>
          <w:pPr>
            <w:pStyle w:val="13"/>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_Toc15409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十二、响应人认为有必要提供的其他文件</w:t>
          </w:r>
          <w:r>
            <w:tab/>
          </w:r>
          <w:r>
            <w:fldChar w:fldCharType="begin"/>
          </w:r>
          <w:r>
            <w:instrText xml:space="preserve"> PAGEREF _Toc15409 \h </w:instrText>
          </w:r>
          <w:r>
            <w:fldChar w:fldCharType="separate"/>
          </w:r>
          <w:r>
            <w:t>15</w:t>
          </w:r>
          <w:r>
            <w:fldChar w:fldCharType="end"/>
          </w:r>
          <w:r>
            <w:rPr>
              <w:rFonts w:hint="eastAsia" w:ascii="华文楷体" w:hAnsi="华文楷体" w:eastAsia="华文楷体" w:cs="华文楷体"/>
              <w:szCs w:val="28"/>
            </w:rPr>
            <w:fldChar w:fldCharType="end"/>
          </w:r>
        </w:p>
        <w:p>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bookmarkStart w:id="56" w:name="_GoBack"/>
          <w:bookmarkEnd w:id="56"/>
        </w:p>
      </w:sdtContent>
    </w:sdt>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2" w:name="_Toc946"/>
      <w:r>
        <w:rPr>
          <w:rFonts w:hint="eastAsia" w:ascii="华文楷体" w:hAnsi="华文楷体" w:eastAsia="华文楷体" w:cs="华文楷体"/>
          <w:color w:val="FF0000"/>
          <w:sz w:val="32"/>
          <w:szCs w:val="32"/>
          <w:lang w:val="en-US" w:eastAsia="zh-CN"/>
        </w:rPr>
        <w:t>一、开标一览表</w:t>
      </w:r>
      <w:bookmarkEnd w:id="22"/>
    </w:p>
    <w:p>
      <w:pPr>
        <w:pageBreakBefore w:val="0"/>
        <w:topLinePunct w:val="0"/>
        <w:bidi w:val="0"/>
        <w:snapToGrid/>
        <w:spacing w:line="240" w:lineRule="auto"/>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rPr>
        <w:t>项目名称：</w:t>
      </w:r>
      <w:r>
        <w:rPr>
          <w:rFonts w:hint="eastAsia" w:ascii="华文楷体" w:hAnsi="华文楷体" w:eastAsia="华文楷体" w:cs="华文楷体"/>
          <w:color w:val="auto"/>
          <w:sz w:val="28"/>
          <w:szCs w:val="28"/>
          <w:highlight w:val="none"/>
          <w:u w:val="single"/>
        </w:rPr>
        <w:t>安宁市第一人民医院特殊气体采购项目(2024-2027)</w:t>
      </w:r>
    </w:p>
    <w:tbl>
      <w:tblPr>
        <w:tblStyle w:val="17"/>
        <w:tblpPr w:leftFromText="180" w:rightFromText="180" w:vertAnchor="text" w:horzAnchor="page" w:tblpX="878" w:tblpY="195"/>
        <w:tblOverlap w:val="never"/>
        <w:tblW w:w="15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1635"/>
        <w:gridCol w:w="1620"/>
        <w:gridCol w:w="1260"/>
        <w:gridCol w:w="1575"/>
        <w:gridCol w:w="795"/>
        <w:gridCol w:w="1245"/>
        <w:gridCol w:w="1530"/>
        <w:gridCol w:w="5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40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w:t>
            </w:r>
          </w:p>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含量</w:t>
            </w:r>
          </w:p>
        </w:tc>
        <w:tc>
          <w:tcPr>
            <w:tcW w:w="7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w:t>
            </w:r>
          </w:p>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计价单位包装规格</w:t>
            </w:r>
          </w:p>
        </w:tc>
        <w:tc>
          <w:tcPr>
            <w:tcW w:w="153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报价</w:t>
            </w:r>
          </w:p>
        </w:tc>
        <w:tc>
          <w:tcPr>
            <w:tcW w:w="52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lang w:eastAsia="zh-CN"/>
              </w:rPr>
            </w:pPr>
            <w:r>
              <w:rPr>
                <w:rFonts w:hint="eastAsia" w:ascii="华文楷体" w:hAnsi="华文楷体" w:eastAsia="华文楷体" w:cs="华文楷体"/>
              </w:rPr>
              <w:t>二氧化碳</w:t>
            </w:r>
            <w:r>
              <w:rPr>
                <w:rFonts w:hint="eastAsia" w:ascii="华文楷体" w:hAnsi="华文楷体" w:eastAsia="华文楷体" w:cs="华文楷体"/>
                <w:lang w:eastAsia="zh-CN"/>
              </w:rPr>
              <w:t>气体</w:t>
            </w:r>
            <w:r>
              <w:rPr>
                <w:rFonts w:hint="eastAsia" w:ascii="华文楷体" w:hAnsi="华文楷体" w:eastAsia="华文楷体" w:cs="华文楷体"/>
              </w:rPr>
              <w:t>(99.5</w:t>
            </w:r>
            <w:r>
              <w:rPr>
                <w:rFonts w:hint="eastAsia" w:ascii="华文楷体" w:hAnsi="华文楷体" w:eastAsia="华文楷体" w:cs="华文楷体"/>
                <w:lang w:val="en-US" w:eastAsia="zh-CN"/>
              </w:rPr>
              <w:t>%</w:t>
            </w:r>
            <w:r>
              <w:rPr>
                <w:rFonts w:hint="eastAsia" w:ascii="华文楷体" w:hAnsi="华文楷体" w:eastAsia="华文楷体" w:cs="华文楷体"/>
              </w:rPr>
              <w:t>)</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lang w:eastAsia="zh-CN"/>
              </w:rPr>
            </w:pPr>
            <w:r>
              <w:rPr>
                <w:rFonts w:hint="eastAsia" w:ascii="华文楷体" w:hAnsi="华文楷体" w:eastAsia="华文楷体" w:cs="华文楷体"/>
              </w:rPr>
              <w:t>肺功能</w:t>
            </w:r>
            <w:r>
              <w:rPr>
                <w:rFonts w:hint="eastAsia" w:ascii="华文楷体" w:hAnsi="华文楷体" w:eastAsia="华文楷体" w:cs="华文楷体"/>
                <w:lang w:eastAsia="zh-CN"/>
              </w:rPr>
              <w:t>检测混合气体</w:t>
            </w:r>
            <w:r>
              <w:rPr>
                <w:rFonts w:hint="eastAsia" w:ascii="华文楷体" w:hAnsi="华文楷体" w:eastAsia="华文楷体" w:cs="华文楷体"/>
              </w:rPr>
              <w:t>(0.3%(C2H2, CH4,CO )&amp;Air )</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3</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rPr>
            </w:pPr>
            <w:r>
              <w:rPr>
                <w:rFonts w:hint="eastAsia" w:ascii="华文楷体" w:hAnsi="华文楷体" w:eastAsia="华文楷体" w:cs="华文楷体"/>
              </w:rPr>
              <w:t>液氮</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4</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rPr>
            </w:pPr>
            <w:r>
              <w:rPr>
                <w:rFonts w:hint="eastAsia" w:ascii="华文楷体" w:hAnsi="华文楷体" w:eastAsia="华文楷体" w:cs="华文楷体"/>
                <w:lang w:eastAsia="zh-CN"/>
              </w:rPr>
              <w:t>食品级</w:t>
            </w:r>
            <w:r>
              <w:rPr>
                <w:rFonts w:hint="eastAsia" w:ascii="华文楷体" w:hAnsi="华文楷体" w:eastAsia="华文楷体" w:cs="华文楷体"/>
              </w:rPr>
              <w:t>二氧化碳</w:t>
            </w:r>
            <w:r>
              <w:rPr>
                <w:rFonts w:hint="eastAsia" w:ascii="华文楷体" w:hAnsi="华文楷体" w:eastAsia="华文楷体" w:cs="华文楷体"/>
                <w:lang w:eastAsia="zh-CN"/>
              </w:rPr>
              <w:t>（</w:t>
            </w:r>
            <w:r>
              <w:rPr>
                <w:rFonts w:hint="eastAsia" w:ascii="华文楷体" w:hAnsi="华文楷体" w:eastAsia="华文楷体" w:cs="华文楷体"/>
                <w:lang w:val="en-US" w:eastAsia="zh-CN"/>
              </w:rPr>
              <w:t>99.9%</w:t>
            </w:r>
            <w:r>
              <w:rPr>
                <w:rFonts w:hint="eastAsia" w:ascii="华文楷体" w:hAnsi="华文楷体" w:eastAsia="华文楷体" w:cs="华文楷体"/>
                <w:lang w:eastAsia="zh-CN"/>
              </w:rPr>
              <w:t>）</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535" w:type="dxa"/>
            <w:gridSpan w:val="7"/>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b/>
                <w:bCs/>
                <w:sz w:val="24"/>
                <w:lang w:eastAsia="zh-CN"/>
              </w:rPr>
              <w:t>计价单位报价合计</w:t>
            </w: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华文楷体" w:hAnsi="华文楷体" w:eastAsia="华文楷体" w:cs="华文楷体"/>
          <w:sz w:val="24"/>
          <w:szCs w:val="24"/>
        </w:rPr>
      </w:pPr>
      <w:r>
        <w:rPr>
          <w:rFonts w:hint="eastAsia" w:ascii="华文楷体" w:hAnsi="华文楷体" w:eastAsia="华文楷体" w:cs="华文楷体"/>
          <w:sz w:val="24"/>
          <w:szCs w:val="24"/>
        </w:rPr>
        <w:t>注：1.此表应放于</w:t>
      </w: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文件封面后第一页。</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华文楷体" w:hAnsi="华文楷体" w:eastAsia="华文楷体" w:cs="华文楷体"/>
          <w:sz w:val="28"/>
          <w:szCs w:val="28"/>
        </w:rPr>
      </w:pPr>
      <w:r>
        <w:rPr>
          <w:rFonts w:hint="eastAsia" w:ascii="华文楷体" w:hAnsi="华文楷体" w:eastAsia="华文楷体" w:cs="华文楷体"/>
          <w:sz w:val="24"/>
          <w:szCs w:val="24"/>
        </w:rPr>
        <w:t>★ 2. 本表应盖单位鲜章，法定代表人签名。</w:t>
      </w: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lang w:eastAsia="zh-CN"/>
        </w:rPr>
        <w:t>响应</w:t>
      </w:r>
      <w:r>
        <w:rPr>
          <w:rFonts w:hint="eastAsia" w:ascii="华文楷体" w:hAnsi="华文楷体" w:eastAsia="华文楷体" w:cs="华文楷体"/>
          <w:sz w:val="28"/>
          <w:szCs w:val="28"/>
        </w:rPr>
        <w:t>人：</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u w:val="single"/>
          <w:lang w:val="en-US" w:eastAsia="zh-CN"/>
        </w:rPr>
        <w:t xml:space="preserve">  </w:t>
      </w:r>
      <w:r>
        <w:rPr>
          <w:rFonts w:hint="eastAsia" w:ascii="华文楷体" w:hAnsi="华文楷体" w:eastAsia="华文楷体" w:cs="华文楷体"/>
          <w:sz w:val="28"/>
          <w:szCs w:val="28"/>
          <w:u w:val="single"/>
        </w:rPr>
        <w:t xml:space="preserve">  </w:t>
      </w:r>
      <w:r>
        <w:rPr>
          <w:rFonts w:hint="eastAsia" w:ascii="华文楷体" w:hAnsi="华文楷体" w:eastAsia="华文楷体" w:cs="华文楷体"/>
          <w:sz w:val="28"/>
          <w:szCs w:val="28"/>
        </w:rPr>
        <w:t>（加盖公章）</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法定代表人或其委托代理人（签字或盖章）</w:t>
      </w:r>
      <w:r>
        <w:rPr>
          <w:rFonts w:hint="eastAsia" w:ascii="华文楷体" w:hAnsi="华文楷体" w:eastAsia="华文楷体" w:cs="华文楷体"/>
          <w:sz w:val="28"/>
          <w:szCs w:val="28"/>
          <w:u w:val="single"/>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楷体" w:hAnsi="华文楷体" w:eastAsia="华文楷体" w:cs="华文楷体"/>
          <w:sz w:val="28"/>
          <w:szCs w:val="28"/>
        </w:rPr>
        <w:sectPr>
          <w:pgSz w:w="16838" w:h="11906" w:orient="landscape"/>
          <w:pgMar w:top="720" w:right="720" w:bottom="720" w:left="720" w:header="851" w:footer="992" w:gutter="0"/>
          <w:cols w:space="425" w:num="1"/>
          <w:docGrid w:type="lines" w:linePitch="312" w:charSpace="0"/>
        </w:sectPr>
      </w:pPr>
      <w:r>
        <w:rPr>
          <w:rFonts w:hint="eastAsia" w:ascii="华文楷体" w:hAnsi="华文楷体" w:eastAsia="华文楷体" w:cs="华文楷体"/>
          <w:sz w:val="28"/>
          <w:szCs w:val="28"/>
          <w:lang w:val="en-US" w:eastAsia="zh-CN"/>
        </w:rPr>
        <w:t xml:space="preserve">                                                                 </w:t>
      </w:r>
      <w:r>
        <w:rPr>
          <w:rFonts w:hint="eastAsia" w:ascii="华文楷体" w:hAnsi="华文楷体" w:eastAsia="华文楷体" w:cs="华文楷体"/>
          <w:sz w:val="28"/>
          <w:szCs w:val="28"/>
        </w:rPr>
        <w:t>年   月   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3" w:name="_Toc18551"/>
      <w:bookmarkStart w:id="24" w:name="_Toc26314"/>
      <w:r>
        <w:rPr>
          <w:rFonts w:hint="eastAsia" w:ascii="华文楷体" w:hAnsi="华文楷体" w:eastAsia="华文楷体" w:cs="华文楷体"/>
          <w:color w:val="FF0000"/>
          <w:sz w:val="32"/>
          <w:szCs w:val="32"/>
          <w:lang w:val="en-US" w:eastAsia="zh-CN"/>
        </w:rPr>
        <w:t>二、响应函</w:t>
      </w:r>
      <w:bookmarkEnd w:id="23"/>
      <w:bookmarkEnd w:id="24"/>
    </w:p>
    <w:p>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1"/>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致：</w:t>
      </w:r>
      <w:r>
        <w:rPr>
          <w:rFonts w:hint="eastAsia" w:ascii="华文楷体" w:hAnsi="华文楷体" w:eastAsia="华文楷体" w:cs="华文楷体"/>
          <w:b w:val="0"/>
          <w:bCs w:val="0"/>
          <w:sz w:val="22"/>
          <w:szCs w:val="22"/>
          <w:u w:val="single"/>
          <w:lang w:val="en-US" w:eastAsia="zh-CN"/>
        </w:rPr>
        <w:t xml:space="preserve"> 安宁市第一人民医院 </w:t>
      </w:r>
    </w:p>
    <w:p>
      <w:pPr>
        <w:keepNext w:val="0"/>
        <w:keepLines w:val="0"/>
        <w:pageBreakBefore w:val="0"/>
        <w:widowControl w:val="0"/>
        <w:kinsoku/>
        <w:wordWrap/>
        <w:overflowPunct/>
        <w:topLinePunct w:val="0"/>
        <w:autoSpaceDE/>
        <w:autoSpaceDN/>
        <w:bidi w:val="0"/>
        <w:adjustRightInd/>
        <w:snapToGrid/>
        <w:spacing w:line="560" w:lineRule="exact"/>
        <w:ind w:firstLine="440" w:firstLineChars="200"/>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我方仔细研究了</w:t>
      </w:r>
      <w:r>
        <w:rPr>
          <w:rFonts w:hint="eastAsia" w:ascii="华文楷体" w:hAnsi="华文楷体" w:eastAsia="华文楷体" w:cs="华文楷体"/>
          <w:b w:val="0"/>
          <w:bCs w:val="0"/>
          <w:sz w:val="22"/>
          <w:szCs w:val="22"/>
          <w:u w:val="single"/>
          <w:lang w:val="en-US" w:eastAsia="zh-CN"/>
        </w:rPr>
        <w:t>安宁市第一人民医院特殊气体采购项目(2024-2027)</w:t>
      </w:r>
      <w:r>
        <w:rPr>
          <w:rFonts w:hint="eastAsia" w:ascii="华文楷体" w:hAnsi="华文楷体" w:eastAsia="华文楷体" w:cs="华文楷体"/>
          <w:b w:val="0"/>
          <w:bCs w:val="0"/>
          <w:sz w:val="22"/>
          <w:szCs w:val="22"/>
          <w:u w:val="none"/>
          <w:lang w:val="en-US" w:eastAsia="zh-CN"/>
        </w:rPr>
        <w:t>（采购编号：</w:t>
      </w:r>
      <w:r>
        <w:rPr>
          <w:rFonts w:hint="eastAsia" w:ascii="华文楷体" w:hAnsi="华文楷体" w:eastAsia="华文楷体" w:cs="华文楷体"/>
          <w:b w:val="0"/>
          <w:bCs w:val="0"/>
          <w:sz w:val="22"/>
          <w:szCs w:val="22"/>
          <w:u w:val="single"/>
          <w:lang w:val="en-US" w:eastAsia="zh-CN"/>
        </w:rPr>
        <w:t xml:space="preserve"> ANYGT-YNTP-2024N67</w:t>
      </w:r>
      <w:r>
        <w:rPr>
          <w:rFonts w:hint="eastAsia" w:ascii="华文楷体" w:hAnsi="华文楷体" w:eastAsia="华文楷体" w:cs="华文楷体"/>
          <w:b w:val="0"/>
          <w:bCs w:val="0"/>
          <w:sz w:val="22"/>
          <w:szCs w:val="22"/>
          <w:u w:val="none"/>
          <w:lang w:val="en-US" w:eastAsia="zh-CN"/>
        </w:rPr>
        <w:t>）采购要求的全部内容，正式授权下述签字人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（姓名和职务）</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全权代表响应人</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color w:val="0000FF"/>
          <w:sz w:val="22"/>
          <w:szCs w:val="22"/>
          <w:u w:val="single"/>
          <w:lang w:val="en-US" w:eastAsia="zh-CN"/>
        </w:rPr>
        <w:t>（响应人全称）</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参加</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标段谈判，并提交响应文件。</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据此函，签字人兹宣布同意如下：</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1、按谈判文件项目需求及技术要求，响应总报价（大写）</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元，人民币</w:t>
      </w:r>
      <w:r>
        <w:rPr>
          <w:rFonts w:hint="eastAsia" w:ascii="华文楷体" w:hAnsi="华文楷体" w:eastAsia="华文楷体" w:cs="华文楷体"/>
          <w:b w:val="0"/>
          <w:bCs w:val="0"/>
          <w:sz w:val="22"/>
          <w:szCs w:val="22"/>
          <w:u w:val="single"/>
          <w:lang w:val="en-US" w:eastAsia="zh-CN"/>
        </w:rPr>
        <w:t>(￥        )</w:t>
      </w:r>
      <w:r>
        <w:rPr>
          <w:rFonts w:hint="eastAsia" w:ascii="华文楷体" w:hAnsi="华文楷体" w:eastAsia="华文楷体" w:cs="华文楷体"/>
          <w:b w:val="0"/>
          <w:bCs w:val="0"/>
          <w:sz w:val="22"/>
          <w:szCs w:val="22"/>
          <w:u w:val="none"/>
          <w:lang w:val="en-US" w:eastAsia="zh-CN"/>
        </w:rPr>
        <w:t>，在</w:t>
      </w:r>
      <w:r>
        <w:rPr>
          <w:rFonts w:hint="eastAsia" w:ascii="华文楷体" w:hAnsi="华文楷体" w:eastAsia="华文楷体" w:cs="华文楷体"/>
          <w:b w:val="0"/>
          <w:bCs w:val="0"/>
          <w:sz w:val="22"/>
          <w:szCs w:val="22"/>
          <w:u w:val="single"/>
          <w:lang w:val="en-US" w:eastAsia="zh-CN"/>
        </w:rPr>
        <w:t>合同期内</w:t>
      </w:r>
      <w:r>
        <w:rPr>
          <w:rFonts w:hint="eastAsia" w:ascii="华文楷体" w:hAnsi="华文楷体" w:eastAsia="华文楷体" w:cs="华文楷体"/>
          <w:b w:val="0"/>
          <w:bCs w:val="0"/>
          <w:sz w:val="22"/>
          <w:szCs w:val="22"/>
          <w:u w:val="none"/>
          <w:lang w:val="en-US" w:eastAsia="zh-CN"/>
        </w:rPr>
        <w:t>完成供货。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2、我方已详细审查全部谈判文件，包括</w:t>
      </w:r>
      <w:r>
        <w:rPr>
          <w:rFonts w:hint="eastAsia" w:ascii="华文楷体" w:hAnsi="华文楷体" w:eastAsia="华文楷体" w:cs="华文楷体"/>
          <w:b w:val="0"/>
          <w:bCs w:val="0"/>
          <w:sz w:val="22"/>
          <w:szCs w:val="22"/>
          <w:u w:val="single"/>
          <w:lang w:val="en-US" w:eastAsia="zh-CN"/>
        </w:rPr>
        <w:t>（澄清文件）(如果有的话)</w:t>
      </w:r>
      <w:r>
        <w:rPr>
          <w:rFonts w:hint="eastAsia" w:ascii="华文楷体" w:hAnsi="华文楷体" w:eastAsia="华文楷体" w:cs="华文楷体"/>
          <w:b w:val="0"/>
          <w:bCs w:val="0"/>
          <w:sz w:val="22"/>
          <w:szCs w:val="22"/>
          <w:u w:val="none"/>
          <w:lang w:val="en-US" w:eastAsia="zh-CN"/>
        </w:rPr>
        <w:t>。我方完全理解相关文件要求，并承担对这方面有不明及误解的后果。</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3、在响应人须知规定的开标日期起遵循本响应文件，并在响应人须知规定的响应文件有效期满之前均具有约束力。</w:t>
      </w:r>
    </w:p>
    <w:p>
      <w:pPr>
        <w:keepNext w:val="0"/>
        <w:keepLines w:val="0"/>
        <w:pageBreakBefore w:val="0"/>
        <w:widowControl w:val="0"/>
        <w:kinsoku w:val="0"/>
        <w:wordWrap/>
        <w:overflowPunct w:val="0"/>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4、同意应贵方要求提供与本谈判有关的任何数据或资料，并保证数据和资料的完整性和真实性。</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5、完全理解贵方不一定要接受最低报价的响应人为成交人的行为。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6．如我方成交：（1）我方承诺在收到成交通知书后，在成交通知书规定的期限内与你方签订合同，并履行相应的合同责任和义务。（2）我方承诺将承担售后服务及保修责任。</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7．我方在此声明，所递交的响应文件及有关资料内容完整、真实和准确。</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8．</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（其他补充说明）。</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与本响应有关的正式通讯地址为：</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地址：</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邮政编码：</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电话：</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传真：</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开户名称：</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开户银行：</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single"/>
          <w:lang w:val="en-US" w:eastAsia="zh-CN"/>
        </w:rPr>
      </w:pPr>
      <w:r>
        <w:rPr>
          <w:rFonts w:hint="eastAsia" w:ascii="华文楷体" w:hAnsi="华文楷体" w:eastAsia="华文楷体" w:cs="华文楷体"/>
          <w:b w:val="0"/>
          <w:bCs w:val="0"/>
          <w:sz w:val="22"/>
          <w:szCs w:val="22"/>
          <w:u w:val="none"/>
          <w:lang w:val="en-US" w:eastAsia="zh-CN"/>
        </w:rPr>
        <w:t>帐    号：</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响应人（加盖公章）：</w:t>
      </w:r>
      <w:r>
        <w:rPr>
          <w:rFonts w:hint="eastAsia" w:ascii="华文楷体" w:hAnsi="华文楷体" w:eastAsia="华文楷体" w:cs="华文楷体"/>
          <w:b w:val="0"/>
          <w:bCs w:val="0"/>
          <w:sz w:val="22"/>
          <w:szCs w:val="2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华文楷体" w:hAnsi="华文楷体" w:eastAsia="华文楷体" w:cs="华文楷体"/>
          <w:b w:val="0"/>
          <w:bCs w:val="0"/>
          <w:sz w:val="22"/>
          <w:szCs w:val="22"/>
          <w:u w:val="none"/>
          <w:lang w:val="en-US" w:eastAsia="zh-CN"/>
        </w:rPr>
      </w:pPr>
      <w:r>
        <w:rPr>
          <w:rFonts w:hint="eastAsia" w:ascii="华文楷体" w:hAnsi="华文楷体" w:eastAsia="华文楷体" w:cs="华文楷体"/>
          <w:b w:val="0"/>
          <w:bCs w:val="0"/>
          <w:sz w:val="22"/>
          <w:szCs w:val="22"/>
          <w:u w:val="none"/>
          <w:lang w:val="en-US" w:eastAsia="zh-CN"/>
        </w:rPr>
        <w:t>法定代表人或其委托代理人(签名）：</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 xml:space="preserve">  </w:t>
      </w:r>
    </w:p>
    <w:p>
      <w:pPr>
        <w:keepNext w:val="0"/>
        <w:keepLines w:val="0"/>
        <w:pageBreakBefore w:val="0"/>
        <w:widowControl w:val="0"/>
        <w:wordWrap/>
        <w:topLinePunct w:val="0"/>
        <w:autoSpaceDE/>
        <w:autoSpaceDN/>
        <w:bidi w:val="0"/>
        <w:adjustRightInd/>
        <w:snapToGrid/>
        <w:spacing w:line="560" w:lineRule="exact"/>
        <w:jc w:val="right"/>
        <w:textAlignment w:val="auto"/>
        <w:rPr>
          <w:rFonts w:hint="eastAsia" w:ascii="华文楷体" w:hAnsi="华文楷体" w:eastAsia="华文楷体" w:cs="华文楷体"/>
          <w:sz w:val="28"/>
          <w:szCs w:val="28"/>
        </w:rPr>
      </w:pP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年</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月</w:t>
      </w:r>
      <w:r>
        <w:rPr>
          <w:rFonts w:hint="eastAsia" w:ascii="华文楷体" w:hAnsi="华文楷体" w:eastAsia="华文楷体" w:cs="华文楷体"/>
          <w:b w:val="0"/>
          <w:bCs w:val="0"/>
          <w:sz w:val="22"/>
          <w:szCs w:val="22"/>
          <w:u w:val="single"/>
          <w:lang w:val="en-US" w:eastAsia="zh-CN"/>
        </w:rPr>
        <w:t xml:space="preserve">     </w:t>
      </w:r>
      <w:r>
        <w:rPr>
          <w:rFonts w:hint="eastAsia" w:ascii="华文楷体" w:hAnsi="华文楷体" w:eastAsia="华文楷体" w:cs="华文楷体"/>
          <w:b w:val="0"/>
          <w:bCs w:val="0"/>
          <w:sz w:val="22"/>
          <w:szCs w:val="22"/>
          <w:u w:val="none"/>
          <w:lang w:val="en-US" w:eastAsia="zh-CN"/>
        </w:rPr>
        <w:t>日</w:t>
      </w:r>
    </w:p>
    <w:p>
      <w:pPr>
        <w:pageBreakBefore w:val="0"/>
        <w:topLinePunct w:val="0"/>
        <w:bidi w:val="0"/>
        <w:snapToGrid/>
        <w:spacing w:line="240" w:lineRule="auto"/>
        <w:rPr>
          <w:rFonts w:hint="eastAsia" w:ascii="华文楷体" w:hAnsi="华文楷体" w:eastAsia="华文楷体" w:cs="华文楷体"/>
          <w:sz w:val="28"/>
          <w:szCs w:val="28"/>
        </w:rPr>
      </w:pPr>
    </w:p>
    <w:p>
      <w:pPr>
        <w:pageBreakBefore w:val="0"/>
        <w:topLinePunct w:val="0"/>
        <w:bidi w:val="0"/>
        <w:snapToGrid/>
        <w:spacing w:line="240" w:lineRule="auto"/>
        <w:rPr>
          <w:rFonts w:hint="eastAsia" w:ascii="华文楷体" w:hAnsi="华文楷体" w:eastAsia="华文楷体" w:cs="华文楷体"/>
          <w:sz w:val="28"/>
          <w:szCs w:val="28"/>
        </w:rPr>
        <w:sectPr>
          <w:footerReference r:id="rId3" w:type="default"/>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5" w:name="_Toc7988"/>
      <w:bookmarkStart w:id="26" w:name="_Toc8519"/>
      <w:bookmarkStart w:id="27" w:name="_Toc25991"/>
      <w:r>
        <w:rPr>
          <w:rFonts w:hint="eastAsia" w:ascii="华文楷体" w:hAnsi="华文楷体" w:eastAsia="华文楷体" w:cs="华文楷体"/>
          <w:color w:val="FF0000"/>
          <w:sz w:val="32"/>
          <w:szCs w:val="32"/>
          <w:lang w:val="en-US" w:eastAsia="zh-CN"/>
        </w:rPr>
        <w:t>三、响应产品技术参数说明</w:t>
      </w:r>
      <w:bookmarkEnd w:id="2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7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103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产品</w:t>
            </w:r>
          </w:p>
          <w:p>
            <w:pPr>
              <w:jc w:val="center"/>
              <w:rPr>
                <w:rFonts w:hint="eastAsia" w:ascii="华文楷体" w:hAnsi="华文楷体" w:eastAsia="华文楷体" w:cs="华文楷体"/>
                <w:bCs/>
                <w:sz w:val="24"/>
                <w:szCs w:val="24"/>
              </w:rPr>
            </w:pPr>
            <w:r>
              <w:rPr>
                <w:rFonts w:hint="eastAsia" w:ascii="华文楷体" w:hAnsi="华文楷体" w:eastAsia="华文楷体" w:cs="华文楷体"/>
                <w:bCs/>
                <w:sz w:val="24"/>
                <w:szCs w:val="24"/>
              </w:rPr>
              <w:t>名称</w:t>
            </w:r>
          </w:p>
        </w:tc>
        <w:tc>
          <w:tcPr>
            <w:tcW w:w="741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华文楷体" w:hAnsi="华文楷体" w:eastAsia="华文楷体" w:cs="华文楷体"/>
                <w:sz w:val="24"/>
                <w:szCs w:val="24"/>
              </w:rPr>
            </w:pPr>
            <w:r>
              <w:rPr>
                <w:rFonts w:hint="eastAsia" w:ascii="华文楷体" w:hAnsi="华文楷体" w:eastAsia="华文楷体" w:cs="华文楷体"/>
                <w:sz w:val="24"/>
                <w:szCs w:val="24"/>
              </w:rPr>
              <w:t>详细技术说明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0" w:hRule="atLeast"/>
        </w:trPr>
        <w:tc>
          <w:tcPr>
            <w:tcW w:w="1036"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b/>
                <w:bCs/>
                <w:sz w:val="24"/>
                <w:szCs w:val="24"/>
              </w:rPr>
            </w:pPr>
          </w:p>
        </w:tc>
        <w:tc>
          <w:tcPr>
            <w:tcW w:w="7410" w:type="dxa"/>
            <w:tcBorders>
              <w:top w:val="single" w:color="auto" w:sz="4" w:space="0"/>
              <w:left w:val="single" w:color="auto" w:sz="4" w:space="0"/>
              <w:right w:val="single" w:color="auto" w:sz="4" w:space="0"/>
            </w:tcBorders>
            <w:noWrap w:val="0"/>
            <w:vAlign w:val="top"/>
          </w:tcPr>
          <w:p>
            <w:pPr>
              <w:jc w:val="both"/>
              <w:rPr>
                <w:rFonts w:hint="eastAsia" w:ascii="华文楷体" w:hAnsi="华文楷体" w:eastAsia="华文楷体" w:cs="华文楷体"/>
                <w:sz w:val="24"/>
                <w:szCs w:val="24"/>
              </w:rPr>
            </w:pPr>
          </w:p>
        </w:tc>
      </w:tr>
    </w:tbl>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color w:val="FF0000"/>
          <w:sz w:val="30"/>
          <w:szCs w:val="30"/>
          <w:lang w:val="zh-CN" w:eastAsia="zh-CN"/>
        </w:rPr>
      </w:pP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r>
        <w:rPr>
          <w:rFonts w:hint="eastAsia" w:ascii="华文楷体" w:hAnsi="华文楷体" w:eastAsia="华文楷体" w:cs="华文楷体"/>
          <w:color w:val="FF0000"/>
          <w:sz w:val="32"/>
          <w:szCs w:val="32"/>
          <w:lang w:val="zh-CN" w:eastAsia="zh-CN"/>
        </w:rPr>
        <w:tab/>
      </w:r>
    </w:p>
    <w:p>
      <w:pPr>
        <w:pStyle w:val="3"/>
        <w:keepNext w:val="0"/>
        <w:keepLines w:val="0"/>
        <w:pageBreakBefore w:val="0"/>
        <w:widowControl w:val="0"/>
        <w:numPr>
          <w:ilvl w:val="1"/>
          <w:numId w:val="0"/>
        </w:numPr>
        <w:kinsoku/>
        <w:wordWrap/>
        <w:overflowPunct/>
        <w:topLinePunct w:val="0"/>
        <w:autoSpaceDE/>
        <w:autoSpaceDN/>
        <w:bidi w:val="0"/>
        <w:adjustRightInd w:val="0"/>
        <w:snapToGrid/>
        <w:spacing w:before="0" w:line="240" w:lineRule="auto"/>
        <w:ind w:leftChars="0"/>
        <w:jc w:val="both"/>
        <w:textAlignment w:val="baseline"/>
        <w:outlineLvl w:val="9"/>
        <w:rPr>
          <w:rFonts w:hint="eastAsia" w:ascii="华文楷体" w:hAnsi="华文楷体" w:eastAsia="华文楷体" w:cs="华文楷体"/>
          <w:color w:val="FF0000"/>
          <w:sz w:val="32"/>
          <w:szCs w:val="32"/>
          <w:lang w:val="zh-CN" w:eastAsia="zh-CN"/>
        </w:rPr>
      </w:pPr>
    </w:p>
    <w:bookmarkEnd w:id="26"/>
    <w:p>
      <w:pPr>
        <w:pStyle w:val="4"/>
        <w:keepNext/>
        <w:keepLines/>
        <w:pageBreakBefore w:val="0"/>
        <w:widowControl w:val="0"/>
        <w:kinsoku/>
        <w:wordWrap/>
        <w:overflowPunct/>
        <w:topLinePunct w:val="0"/>
        <w:autoSpaceDE/>
        <w:autoSpaceDN/>
        <w:bidi w:val="0"/>
        <w:adjustRightInd/>
        <w:snapToGrid/>
        <w:spacing w:before="0" w:after="0" w:line="240" w:lineRule="auto"/>
        <w:ind w:firstLine="3203" w:firstLineChars="1000"/>
        <w:jc w:val="both"/>
        <w:textAlignment w:val="auto"/>
        <w:outlineLvl w:val="0"/>
        <w:rPr>
          <w:rFonts w:hint="eastAsia" w:ascii="华文楷体" w:hAnsi="华文楷体" w:eastAsia="华文楷体" w:cs="华文楷体"/>
          <w:b/>
          <w:color w:val="FF0000"/>
          <w:kern w:val="0"/>
          <w:sz w:val="32"/>
          <w:szCs w:val="32"/>
          <w:lang w:val="zh-CN" w:eastAsia="zh-CN" w:bidi="ar-SA"/>
        </w:rPr>
      </w:pPr>
      <w:bookmarkStart w:id="28" w:name="_Toc13398"/>
      <w:bookmarkStart w:id="29" w:name="_Toc493600038"/>
      <w:bookmarkStart w:id="30" w:name="_Toc87445179"/>
      <w:bookmarkStart w:id="31" w:name="_Toc21075"/>
      <w:bookmarkStart w:id="32" w:name="_Toc20950"/>
      <w:bookmarkStart w:id="33" w:name="_Toc389130506"/>
      <w:bookmarkStart w:id="34" w:name="_Toc10217844"/>
      <w:bookmarkStart w:id="35" w:name="_Toc351391183"/>
      <w:bookmarkStart w:id="36" w:name="_Toc205269530"/>
      <w:r>
        <w:rPr>
          <w:rFonts w:hint="eastAsia" w:ascii="华文楷体" w:hAnsi="华文楷体" w:eastAsia="华文楷体" w:cs="华文楷体"/>
          <w:b/>
          <w:color w:val="FF0000"/>
          <w:kern w:val="0"/>
          <w:sz w:val="32"/>
          <w:szCs w:val="32"/>
          <w:lang w:val="zh-CN" w:eastAsia="zh-CN" w:bidi="ar-SA"/>
        </w:rPr>
        <w:t>四、响应人信息表</w:t>
      </w:r>
      <w:bookmarkEnd w:id="28"/>
      <w:bookmarkEnd w:id="29"/>
      <w:bookmarkEnd w:id="30"/>
      <w:bookmarkEnd w:id="31"/>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7"/>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37" w:name="OLE_LINK22"/>
            <w:bookmarkStart w:id="38"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37"/>
            <w:bookmarkEnd w:id="38"/>
            <w:r>
              <w:rPr>
                <w:rFonts w:hint="eastAsia" w:ascii="华文楷体" w:hAnsi="华文楷体" w:eastAsia="华文楷体" w:cs="华文楷体"/>
                <w:b w:val="0"/>
                <w:bCs w:val="0"/>
                <w:kern w:val="2"/>
                <w:sz w:val="21"/>
                <w:szCs w:val="21"/>
                <w:u w:val="none"/>
                <w:lang w:val="en-US" w:eastAsia="zh-CN" w:bidi="ar-SA"/>
              </w:rPr>
              <w:t>、产品认证）、其它资质。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39" w:name="_Toc24467"/>
      <w:r>
        <w:rPr>
          <w:rFonts w:hint="eastAsia" w:ascii="华文楷体" w:hAnsi="华文楷体" w:eastAsia="华文楷体" w:cs="华文楷体"/>
          <w:color w:val="FF0000"/>
          <w:sz w:val="32"/>
          <w:szCs w:val="32"/>
          <w:lang w:val="en-US" w:eastAsia="zh-CN"/>
        </w:rPr>
        <w:t>五、法定代表人(负责人)身份证明书</w:t>
      </w:r>
      <w:bookmarkEnd w:id="32"/>
      <w:bookmarkEnd w:id="33"/>
      <w:bookmarkEnd w:id="34"/>
      <w:bookmarkEnd w:id="35"/>
      <w:bookmarkEnd w:id="36"/>
      <w:bookmarkEnd w:id="39"/>
    </w:p>
    <w:p>
      <w:pPr>
        <w:pageBreakBefore w:val="0"/>
        <w:topLinePunct w:val="0"/>
        <w:bidi w:val="0"/>
        <w:snapToGrid/>
        <w:spacing w:line="240" w:lineRule="auto"/>
        <w:rPr>
          <w:rFonts w:hint="eastAsia" w:ascii="华文楷体" w:hAnsi="华文楷体" w:eastAsia="华文楷体" w:cs="华文楷体"/>
          <w:b/>
          <w:color w:val="auto"/>
          <w:highlight w:val="none"/>
        </w:rPr>
      </w:pPr>
    </w:p>
    <w:p>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6"/>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7"/>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046" w:hRule="atLeast"/>
        </w:trPr>
        <w:tc>
          <w:tcPr>
            <w:tcW w:w="4635" w:type="dxa"/>
            <w:noWrap w:val="0"/>
            <w:vAlign w:val="top"/>
          </w:tcPr>
          <w:p>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24"/>
        <w:pageBreakBefore w:val="0"/>
        <w:topLinePunct w:val="0"/>
        <w:bidi w:val="0"/>
        <w:snapToGrid/>
        <w:spacing w:line="240" w:lineRule="auto"/>
        <w:rPr>
          <w:rFonts w:hint="eastAsia" w:ascii="华文楷体" w:hAnsi="华文楷体" w:eastAsia="华文楷体" w:cs="华文楷体"/>
          <w:b/>
          <w:bCs/>
          <w:sz w:val="30"/>
          <w:szCs w:val="30"/>
        </w:rPr>
      </w:pPr>
    </w:p>
    <w:p>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40" w:name="_Toc21393"/>
      <w:bookmarkStart w:id="41" w:name="_Toc20713"/>
      <w:r>
        <w:rPr>
          <w:rFonts w:hint="eastAsia" w:ascii="华文楷体" w:hAnsi="华文楷体" w:eastAsia="华文楷体" w:cs="华文楷体"/>
          <w:b/>
          <w:color w:val="FF0000"/>
          <w:kern w:val="0"/>
          <w:sz w:val="32"/>
          <w:szCs w:val="32"/>
          <w:lang w:val="en-US" w:eastAsia="zh-CN" w:bidi="ar-SA"/>
        </w:rPr>
        <w:t>六、法定代表人（负责人）授权委托书</w:t>
      </w:r>
      <w:bookmarkEnd w:id="40"/>
      <w:bookmarkEnd w:id="41"/>
    </w:p>
    <w:p>
      <w:pPr>
        <w:pageBreakBefore w:val="0"/>
        <w:topLinePunct w:val="0"/>
        <w:bidi w:val="0"/>
        <w:snapToGrid/>
        <w:spacing w:before="156" w:beforeLines="50" w:line="240" w:lineRule="auto"/>
        <w:ind w:firstLine="480" w:firstLineChars="20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b w:val="0"/>
          <w:bCs w:val="0"/>
          <w:sz w:val="22"/>
          <w:szCs w:val="22"/>
          <w:u w:val="single"/>
          <w:lang w:val="en-US" w:eastAsia="zh-CN"/>
        </w:rPr>
        <w:t>安宁市第一人民医院特殊气体采购项目(2024-2027)</w:t>
      </w:r>
      <w:r>
        <w:rPr>
          <w:rFonts w:hint="eastAsia" w:ascii="华文楷体" w:hAnsi="华文楷体" w:eastAsia="华文楷体" w:cs="华文楷体"/>
          <w:color w:val="auto"/>
          <w:sz w:val="24"/>
          <w:szCs w:val="24"/>
          <w:highlight w:val="none"/>
        </w:rPr>
        <w:t>院内</w:t>
      </w:r>
      <w:r>
        <w:rPr>
          <w:rFonts w:hint="eastAsia" w:ascii="华文楷体" w:hAnsi="华文楷体" w:eastAsia="华文楷体" w:cs="华文楷体"/>
          <w:color w:val="auto"/>
          <w:sz w:val="24"/>
          <w:szCs w:val="24"/>
          <w:highlight w:val="none"/>
          <w:lang w:eastAsia="zh-CN"/>
        </w:rPr>
        <w:t>谈判</w:t>
      </w:r>
      <w:r>
        <w:rPr>
          <w:rFonts w:hint="eastAsia" w:ascii="华文楷体" w:hAnsi="华文楷体" w:eastAsia="华文楷体" w:cs="华文楷体"/>
          <w:color w:val="auto"/>
          <w:sz w:val="24"/>
          <w:szCs w:val="24"/>
          <w:highlight w:val="none"/>
        </w:rPr>
        <w:t>采购活动。</w:t>
      </w:r>
    </w:p>
    <w:p>
      <w:pPr>
        <w:keepNext w:val="0"/>
        <w:keepLines w:val="0"/>
        <w:pageBreakBefore w:val="0"/>
        <w:widowControl w:val="0"/>
        <w:kinsoku w:val="0"/>
        <w:wordWrap/>
        <w:overflowPunct w:val="0"/>
        <w:topLinePunct w:val="0"/>
        <w:autoSpaceDE/>
        <w:autoSpaceDN/>
        <w:bidi w:val="0"/>
        <w:adjustRightInd/>
        <w:snapToGrid/>
        <w:spacing w:before="156" w:beforeLines="50" w:line="240" w:lineRule="auto"/>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7"/>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7"/>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pPr>
        <w:pStyle w:val="8"/>
        <w:pageBreakBefore w:val="0"/>
        <w:topLinePunct w:val="0"/>
        <w:bidi w:val="0"/>
        <w:snapToGrid/>
        <w:spacing w:line="240" w:lineRule="auto"/>
        <w:rPr>
          <w:rFonts w:hint="eastAsia" w:ascii="华文楷体" w:hAnsi="华文楷体" w:eastAsia="华文楷体" w:cs="华文楷体"/>
          <w:b w:val="0"/>
          <w:bCs w:val="0"/>
          <w:sz w:val="30"/>
          <w:szCs w:val="30"/>
        </w:rPr>
      </w:pPr>
    </w:p>
    <w:p>
      <w:pPr>
        <w:pStyle w:val="5"/>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华文楷体" w:hAnsi="华文楷体" w:eastAsia="华文楷体" w:cs="华文楷体"/>
          <w:color w:val="000000"/>
          <w:sz w:val="32"/>
          <w:szCs w:val="32"/>
          <w:highlight w:val="none"/>
        </w:rPr>
      </w:pPr>
      <w:bookmarkStart w:id="42" w:name="_Toc19159"/>
      <w:r>
        <w:rPr>
          <w:rFonts w:hint="eastAsia" w:ascii="华文楷体" w:hAnsi="华文楷体" w:eastAsia="华文楷体" w:cs="华文楷体"/>
          <w:b/>
          <w:color w:val="FF0000"/>
          <w:kern w:val="0"/>
          <w:sz w:val="32"/>
          <w:szCs w:val="32"/>
          <w:lang w:val="en-US" w:eastAsia="zh-CN" w:bidi="ar-SA"/>
        </w:rPr>
        <w:t>七、质量保证书</w:t>
      </w:r>
      <w:bookmarkEnd w:id="42"/>
    </w:p>
    <w:p>
      <w:pPr>
        <w:pStyle w:val="10"/>
        <w:spacing w:line="360" w:lineRule="auto"/>
        <w:contextualSpacing/>
        <w:rPr>
          <w:rFonts w:hint="eastAsia" w:ascii="华文楷体" w:hAnsi="华文楷体" w:eastAsia="华文楷体" w:cs="华文楷体"/>
          <w:color w:val="000000"/>
          <w:sz w:val="24"/>
          <w:szCs w:val="24"/>
          <w:highlight w:val="none"/>
          <w:u w:val="single"/>
        </w:rPr>
      </w:pPr>
      <w:r>
        <w:rPr>
          <w:rFonts w:hint="eastAsia" w:ascii="华文楷体" w:hAnsi="华文楷体" w:eastAsia="华文楷体" w:cs="华文楷体"/>
          <w:color w:val="000000"/>
          <w:sz w:val="24"/>
          <w:szCs w:val="24"/>
          <w:highlight w:val="none"/>
        </w:rPr>
        <w:t>致：</w:t>
      </w:r>
      <w:r>
        <w:rPr>
          <w:rFonts w:hint="eastAsia" w:ascii="华文楷体" w:hAnsi="华文楷体" w:eastAsia="华文楷体" w:cs="华文楷体"/>
          <w:color w:val="000000"/>
          <w:sz w:val="24"/>
          <w:szCs w:val="24"/>
          <w:highlight w:val="none"/>
          <w:u w:val="single"/>
          <w:lang w:eastAsia="zh-CN"/>
        </w:rPr>
        <w:t>安宁市第一人民医院</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 xml:space="preserve">本书作为 </w:t>
      </w:r>
      <w:r>
        <w:rPr>
          <w:rFonts w:hint="eastAsia" w:ascii="华文楷体" w:hAnsi="华文楷体" w:eastAsia="华文楷体" w:cs="华文楷体"/>
          <w:color w:val="000000"/>
          <w:sz w:val="24"/>
          <w:szCs w:val="24"/>
          <w:highlight w:val="none"/>
          <w:u w:val="single"/>
        </w:rPr>
        <w:t xml:space="preserve">     （供应商）       </w:t>
      </w:r>
      <w:r>
        <w:rPr>
          <w:rFonts w:hint="eastAsia" w:ascii="华文楷体" w:hAnsi="华文楷体" w:eastAsia="华文楷体" w:cs="华文楷体"/>
          <w:color w:val="000000"/>
          <w:sz w:val="24"/>
          <w:szCs w:val="24"/>
          <w:highlight w:val="none"/>
        </w:rPr>
        <w:t>对</w:t>
      </w:r>
      <w:r>
        <w:rPr>
          <w:rFonts w:hint="eastAsia" w:ascii="华文楷体" w:hAnsi="华文楷体" w:eastAsia="华文楷体" w:cs="华文楷体"/>
          <w:b w:val="0"/>
          <w:bCs w:val="0"/>
          <w:sz w:val="22"/>
          <w:szCs w:val="22"/>
          <w:u w:val="single"/>
          <w:lang w:val="en-US" w:eastAsia="zh-CN"/>
        </w:rPr>
        <w:t>安宁市第一人民医院特殊气体采购项目(2024-2027)</w:t>
      </w:r>
      <w:r>
        <w:rPr>
          <w:rFonts w:hint="eastAsia" w:ascii="华文楷体" w:hAnsi="华文楷体" w:eastAsia="华文楷体" w:cs="华文楷体"/>
          <w:color w:val="000000"/>
          <w:sz w:val="24"/>
          <w:szCs w:val="24"/>
          <w:highlight w:val="none"/>
        </w:rPr>
        <w:t>（项目编号：</w:t>
      </w:r>
      <w:r>
        <w:rPr>
          <w:rFonts w:hint="eastAsia" w:ascii="华文楷体" w:hAnsi="华文楷体" w:eastAsia="华文楷体" w:cs="华文楷体"/>
          <w:color w:val="000000"/>
          <w:sz w:val="24"/>
          <w:szCs w:val="24"/>
          <w:highlight w:val="none"/>
          <w:u w:val="single"/>
          <w:lang w:val="en-US" w:eastAsia="zh-CN"/>
        </w:rPr>
        <w:t>ANYGT-YNTP-2024N67</w:t>
      </w:r>
      <w:r>
        <w:rPr>
          <w:rFonts w:hint="eastAsia" w:ascii="华文楷体" w:hAnsi="华文楷体" w:eastAsia="华文楷体" w:cs="华文楷体"/>
          <w:color w:val="000000"/>
          <w:sz w:val="24"/>
          <w:szCs w:val="24"/>
          <w:highlight w:val="none"/>
        </w:rPr>
        <w:t>）提供的质量保证证明。</w:t>
      </w:r>
    </w:p>
    <w:p>
      <w:pPr>
        <w:spacing w:line="360" w:lineRule="auto"/>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我方承诺提供以下质量保证并承担相应的法律责任：</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1、提供的货物是全新的、符合国家质量标准、中国有关部门手续完备、具有生产厂家质量保证书（或合格证明）的货物，保证项目完成符合国家有关安全防范标准；</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2、提供的</w:t>
      </w:r>
      <w:r>
        <w:rPr>
          <w:rFonts w:hint="eastAsia" w:ascii="华文楷体" w:hAnsi="华文楷体" w:eastAsia="华文楷体" w:cs="华文楷体"/>
          <w:color w:val="000000"/>
          <w:sz w:val="24"/>
          <w:szCs w:val="24"/>
          <w:highlight w:val="none"/>
          <w:lang w:eastAsia="zh-CN"/>
        </w:rPr>
        <w:t>服务</w:t>
      </w:r>
      <w:r>
        <w:rPr>
          <w:rFonts w:hint="eastAsia" w:ascii="华文楷体" w:hAnsi="华文楷体" w:eastAsia="华文楷体" w:cs="华文楷体"/>
          <w:color w:val="000000"/>
          <w:sz w:val="24"/>
          <w:szCs w:val="24"/>
          <w:highlight w:val="none"/>
        </w:rPr>
        <w:t>符合响应文件承诺和所签合同规定的技术要求；</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3、保证“</w:t>
      </w:r>
      <w:r>
        <w:rPr>
          <w:rFonts w:hint="eastAsia" w:ascii="华文楷体" w:hAnsi="华文楷体" w:eastAsia="华文楷体" w:cs="华文楷体"/>
          <w:color w:val="000000"/>
          <w:sz w:val="24"/>
          <w:szCs w:val="24"/>
          <w:highlight w:val="none"/>
          <w:lang w:eastAsia="zh-CN"/>
        </w:rPr>
        <w:t>响应</w:t>
      </w:r>
      <w:r>
        <w:rPr>
          <w:rFonts w:hint="eastAsia" w:ascii="华文楷体" w:hAnsi="华文楷体" w:eastAsia="华文楷体" w:cs="华文楷体"/>
          <w:color w:val="000000"/>
          <w:sz w:val="24"/>
          <w:szCs w:val="24"/>
          <w:highlight w:val="none"/>
        </w:rPr>
        <w:t>服务承诺”全部内容的满足。</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4、……</w:t>
      </w:r>
    </w:p>
    <w:p>
      <w:pPr>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5、……</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w:t>
      </w:r>
    </w:p>
    <w:p>
      <w:pPr>
        <w:spacing w:line="360" w:lineRule="auto"/>
        <w:ind w:firstLine="480" w:firstLineChars="20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本保证书自开标日起至质保期结束之日均有效。</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供应商全称（盖章）：</w:t>
      </w:r>
      <w:r>
        <w:rPr>
          <w:rFonts w:hint="eastAsia" w:ascii="华文楷体" w:hAnsi="华文楷体" w:eastAsia="华文楷体" w:cs="华文楷体"/>
          <w:color w:val="000000"/>
          <w:sz w:val="24"/>
          <w:szCs w:val="24"/>
          <w:highlight w:val="none"/>
          <w:u w:val="single"/>
        </w:rPr>
        <w:t xml:space="preserve">                             </w:t>
      </w:r>
    </w:p>
    <w:p>
      <w:pPr>
        <w:pStyle w:val="10"/>
        <w:spacing w:line="360" w:lineRule="auto"/>
        <w:ind w:firstLine="360" w:firstLineChars="150"/>
        <w:contextualSpacing/>
        <w:rPr>
          <w:rFonts w:hint="eastAsia" w:ascii="华文楷体" w:hAnsi="华文楷体" w:eastAsia="华文楷体" w:cs="华文楷体"/>
          <w:color w:val="000000"/>
          <w:sz w:val="24"/>
          <w:szCs w:val="24"/>
          <w:highlight w:val="none"/>
        </w:rPr>
      </w:pPr>
      <w:r>
        <w:rPr>
          <w:rFonts w:hint="eastAsia" w:ascii="华文楷体" w:hAnsi="华文楷体" w:eastAsia="华文楷体" w:cs="华文楷体"/>
          <w:color w:val="000000"/>
          <w:sz w:val="24"/>
          <w:szCs w:val="24"/>
          <w:highlight w:val="none"/>
        </w:rPr>
        <w:t>法定代表人或其委托代理人（签字或盖章）:</w:t>
      </w:r>
      <w:r>
        <w:rPr>
          <w:rFonts w:hint="eastAsia" w:ascii="华文楷体" w:hAnsi="华文楷体" w:eastAsia="华文楷体" w:cs="华文楷体"/>
          <w:color w:val="000000"/>
          <w:sz w:val="24"/>
          <w:szCs w:val="24"/>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r>
        <w:rPr>
          <w:rFonts w:hint="eastAsia" w:ascii="华文楷体" w:hAnsi="华文楷体" w:eastAsia="华文楷体" w:cs="华文楷体"/>
          <w:sz w:val="24"/>
          <w:szCs w:val="24"/>
          <w:highlight w:val="none"/>
        </w:rPr>
        <w:t xml:space="preserve">   日期：</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年</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月</w:t>
      </w:r>
      <w:r>
        <w:rPr>
          <w:rFonts w:hint="eastAsia" w:ascii="华文楷体" w:hAnsi="华文楷体" w:eastAsia="华文楷体" w:cs="华文楷体"/>
          <w:sz w:val="24"/>
          <w:szCs w:val="24"/>
          <w:highlight w:val="none"/>
          <w:u w:val="single"/>
        </w:rPr>
        <w:t xml:space="preserve">       </w:t>
      </w:r>
      <w:r>
        <w:rPr>
          <w:rFonts w:hint="eastAsia" w:ascii="华文楷体" w:hAnsi="华文楷体" w:eastAsia="华文楷体" w:cs="华文楷体"/>
          <w:sz w:val="24"/>
          <w:szCs w:val="24"/>
          <w:highlight w:val="none"/>
        </w:rPr>
        <w:t>日</w:t>
      </w: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4"/>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5"/>
        <w:keepNext/>
        <w:keepLines/>
        <w:pageBreakBefore w:val="0"/>
        <w:widowControl w:val="0"/>
        <w:kinsoku/>
        <w:wordWrap/>
        <w:overflowPunct/>
        <w:topLinePunct w:val="0"/>
        <w:autoSpaceDE/>
        <w:autoSpaceDN/>
        <w:bidi w:val="0"/>
        <w:adjustRightInd/>
        <w:snapToGrid/>
        <w:spacing w:before="0" w:after="0" w:line="240" w:lineRule="auto"/>
        <w:jc w:val="both"/>
        <w:textAlignment w:val="auto"/>
        <w:outlineLvl w:val="9"/>
        <w:rPr>
          <w:rFonts w:hint="eastAsia" w:ascii="华文楷体" w:hAnsi="华文楷体" w:eastAsia="华文楷体" w:cs="华文楷体"/>
          <w:b/>
          <w:color w:val="FF0000"/>
          <w:kern w:val="0"/>
          <w:sz w:val="30"/>
          <w:szCs w:val="30"/>
          <w:lang w:val="en-US" w:eastAsia="zh-CN" w:bidi="ar-SA"/>
        </w:rPr>
      </w:pPr>
    </w:p>
    <w:p>
      <w:pPr>
        <w:pStyle w:val="8"/>
        <w:rPr>
          <w:rFonts w:hint="eastAsia" w:ascii="华文楷体" w:hAnsi="华文楷体" w:eastAsia="华文楷体" w:cs="华文楷体"/>
          <w:sz w:val="32"/>
          <w:szCs w:val="32"/>
          <w:lang w:val="en-US" w:eastAsia="zh-CN"/>
        </w:rPr>
      </w:pPr>
    </w:p>
    <w:p>
      <w:pPr>
        <w:pStyle w:val="5"/>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3" w:name="_Toc26534"/>
      <w:r>
        <w:rPr>
          <w:rFonts w:hint="eastAsia" w:ascii="华文楷体" w:hAnsi="华文楷体" w:eastAsia="华文楷体" w:cs="华文楷体"/>
          <w:b/>
          <w:color w:val="FF0000"/>
          <w:kern w:val="0"/>
          <w:sz w:val="32"/>
          <w:szCs w:val="32"/>
          <w:lang w:val="en-US" w:eastAsia="zh-CN" w:bidi="ar-SA"/>
        </w:rPr>
        <w:t>八、响应人资质文件</w:t>
      </w:r>
      <w:bookmarkEnd w:id="43"/>
    </w:p>
    <w:p>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危险化学品经营许可证，属于第三类医疗器械的需提供医疗器械经营许可证，属于第二类医疗器械的需提供备案证，进口产品须有相应授权。说明：经销商资质文件为实质性要求，未提供或提供不全将不通过资格审查！）。投标人（非投标产品制造厂家）需提供产品制造厂家对本项目投标产品的授权，或具有授权权限的代理商对本项目投标产品的授权（且需提供该代理商具有有效授权权限的相关证明文件，证明文件需能显示产品制造厂家对投标产品授权链条的完整性）。</w:t>
      </w: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pageBreakBefore w:val="0"/>
        <w:topLinePunct w:val="0"/>
        <w:bidi w:val="0"/>
        <w:snapToGrid/>
        <w:spacing w:line="240" w:lineRule="auto"/>
        <w:rPr>
          <w:rFonts w:hint="eastAsia" w:ascii="华文楷体" w:hAnsi="华文楷体" w:eastAsia="华文楷体" w:cs="华文楷体"/>
          <w:sz w:val="30"/>
          <w:szCs w:val="30"/>
          <w:lang w:val="en-US" w:eastAsia="zh-CN"/>
        </w:rPr>
      </w:pPr>
    </w:p>
    <w:p>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44" w:name="_Toc21535"/>
      <w:r>
        <w:rPr>
          <w:rFonts w:hint="eastAsia" w:ascii="华文楷体" w:hAnsi="华文楷体" w:eastAsia="华文楷体" w:cs="华文楷体"/>
          <w:b/>
          <w:color w:val="FF0000"/>
          <w:kern w:val="0"/>
          <w:sz w:val="32"/>
          <w:szCs w:val="32"/>
          <w:lang w:val="en-US" w:eastAsia="zh-CN" w:bidi="ar-SA"/>
        </w:rPr>
        <w:t>九、产品生产厂家及产品资质</w:t>
      </w:r>
      <w:bookmarkEnd w:id="44"/>
    </w:p>
    <w:p>
      <w:pPr>
        <w:keepNext w:val="0"/>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宋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产品技术资料（生产企业生产许可证、产品注册证，含产品彩页、产品说明书、检测报告等，要求：需清晰可辨认，便于谈判专家组从所提供的技术资料中能够核对响应产品是否能满足医院采购需求。如提供技术资料字迹模糊难以辨认，或提供的技术资料与所投产品规格型号不符，谈判专家组可视为未响应采购需求，</w:t>
      </w:r>
      <w:r>
        <w:rPr>
          <w:rFonts w:hint="eastAsia" w:ascii="华文楷体" w:hAnsi="华文楷体" w:eastAsia="华文楷体" w:cs="华文楷体"/>
          <w:b/>
          <w:bCs/>
          <w:color w:val="FF0000"/>
          <w:kern w:val="2"/>
          <w:sz w:val="24"/>
          <w:szCs w:val="24"/>
          <w:u w:val="none"/>
          <w:lang w:val="en-US" w:eastAsia="zh-CN" w:bidi="ar-SA"/>
        </w:rPr>
        <w:t>特别注意：不提供生产资质证明文件将不通过资格审查！</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ind w:firstLine="2242" w:firstLineChars="700"/>
        <w:jc w:val="both"/>
        <w:textAlignment w:val="baseline"/>
        <w:outlineLvl w:val="0"/>
        <w:rPr>
          <w:rFonts w:hint="eastAsia" w:ascii="华文楷体" w:hAnsi="华文楷体" w:eastAsia="华文楷体" w:cs="华文楷体"/>
          <w:b/>
          <w:color w:val="FF0000"/>
          <w:kern w:val="0"/>
          <w:sz w:val="32"/>
          <w:szCs w:val="32"/>
          <w:lang w:val="en-US" w:eastAsia="zh-CN" w:bidi="ar-SA"/>
        </w:rPr>
      </w:pPr>
      <w:bookmarkStart w:id="45" w:name="_Toc24052"/>
      <w:r>
        <w:rPr>
          <w:rFonts w:hint="eastAsia" w:ascii="华文楷体" w:hAnsi="华文楷体" w:eastAsia="华文楷体" w:cs="华文楷体"/>
          <w:b/>
          <w:color w:val="FF0000"/>
          <w:kern w:val="0"/>
          <w:sz w:val="32"/>
          <w:szCs w:val="32"/>
          <w:lang w:val="en-US" w:eastAsia="zh-CN" w:bidi="ar-SA"/>
        </w:rPr>
        <w:t>十、近三年类似供货业绩</w:t>
      </w:r>
      <w:bookmarkEnd w:id="45"/>
    </w:p>
    <w:p>
      <w:pPr>
        <w:keepNext/>
        <w:keepLines w:val="0"/>
        <w:pageBreakBefore w:val="0"/>
        <w:widowControl w:val="0"/>
        <w:numPr>
          <w:ilvl w:val="0"/>
          <w:numId w:val="0"/>
        </w:numPr>
        <w:kinsoku w:val="0"/>
        <w:wordWrap/>
        <w:overflowPunct w:val="0"/>
        <w:topLinePunct w:val="0"/>
        <w:autoSpaceDE w:val="0"/>
        <w:autoSpaceDN w:val="0"/>
        <w:bidi w:val="0"/>
        <w:adjustRightInd/>
        <w:snapToGrid/>
        <w:spacing w:line="560" w:lineRule="exact"/>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近3年（2021年6月至今）省内外主要用户名单及至少10个类似业绩证明材料（发票或合同），有三甲医院业绩的首选提供不同的三甲医院业绩）（有效业绩需提供中标通知书或合同扫描件，中标通知书或合同扫描件中的单价、金额等关键信息不得涂盖，有效业绩必须是谈判申请人（本公司）与本项目采购货物及服务相同的业绩）</w:t>
      </w: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0"/>
        <w:rPr>
          <w:rFonts w:hint="eastAsia" w:ascii="华文楷体" w:hAnsi="华文楷体" w:eastAsia="华文楷体" w:cs="华文楷体"/>
          <w:b w:val="0"/>
          <w:bCs w:val="0"/>
          <w:kern w:val="2"/>
          <w:sz w:val="24"/>
          <w:szCs w:val="24"/>
          <w:u w:val="none"/>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p>
      <w:pPr>
        <w:pStyle w:val="3"/>
        <w:keepNext/>
        <w:keepLines w:val="0"/>
        <w:pageBreakBefore w:val="0"/>
        <w:widowControl w:val="0"/>
        <w:numPr>
          <w:ilvl w:val="1"/>
          <w:numId w:val="0"/>
        </w:numPr>
        <w:kinsoku/>
        <w:wordWrap/>
        <w:overflowPunct/>
        <w:topLinePunct w:val="0"/>
        <w:autoSpaceDE/>
        <w:autoSpaceDN/>
        <w:bidi w:val="0"/>
        <w:adjustRightInd w:val="0"/>
        <w:snapToGrid/>
        <w:spacing w:before="0" w:line="240" w:lineRule="auto"/>
        <w:textAlignment w:val="baseline"/>
        <w:outlineLvl w:val="9"/>
        <w:rPr>
          <w:rFonts w:hint="eastAsia" w:ascii="华文楷体" w:hAnsi="华文楷体" w:eastAsia="华文楷体" w:cs="华文楷体"/>
          <w:b/>
          <w:color w:val="FF0000"/>
          <w:kern w:val="0"/>
          <w:sz w:val="30"/>
          <w:szCs w:val="30"/>
          <w:lang w:val="en-US" w:eastAsia="zh-CN" w:bidi="ar-SA"/>
        </w:rPr>
      </w:pPr>
    </w:p>
    <w:bookmarkEnd w:id="27"/>
    <w:p>
      <w:pPr>
        <w:pStyle w:val="3"/>
        <w:pageBreakBefore w:val="0"/>
        <w:numPr>
          <w:ilvl w:val="1"/>
          <w:numId w:val="0"/>
        </w:numPr>
        <w:topLinePunct w:val="0"/>
        <w:bidi w:val="0"/>
        <w:snapToGrid/>
        <w:spacing w:line="240" w:lineRule="auto"/>
        <w:ind w:firstLine="2883" w:firstLineChars="900"/>
        <w:jc w:val="both"/>
        <w:outlineLvl w:val="0"/>
        <w:rPr>
          <w:rFonts w:hint="eastAsia" w:ascii="华文楷体" w:hAnsi="华文楷体" w:eastAsia="华文楷体" w:cs="华文楷体"/>
          <w:b/>
          <w:color w:val="FF0000"/>
          <w:kern w:val="0"/>
          <w:sz w:val="32"/>
          <w:szCs w:val="32"/>
          <w:lang w:val="en-US" w:eastAsia="zh-CN" w:bidi="ar-SA"/>
        </w:rPr>
      </w:pPr>
      <w:bookmarkStart w:id="46" w:name="_Toc2790"/>
      <w:bookmarkStart w:id="47" w:name="_Toc19174"/>
      <w:r>
        <w:rPr>
          <w:rFonts w:hint="eastAsia" w:ascii="华文楷体" w:hAnsi="华文楷体" w:eastAsia="华文楷体" w:cs="华文楷体"/>
          <w:b/>
          <w:color w:val="FF0000"/>
          <w:kern w:val="0"/>
          <w:sz w:val="32"/>
          <w:szCs w:val="32"/>
          <w:lang w:val="en-US" w:eastAsia="zh-CN" w:bidi="ar-SA"/>
        </w:rPr>
        <w:t>十一、服务方案</w:t>
      </w:r>
      <w:bookmarkEnd w:id="46"/>
      <w:bookmarkEnd w:id="47"/>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（参考评分标准，格式自拟，加盖公章）</w:t>
      </w: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p>
    <w:p>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sectPr>
          <w:pgSz w:w="11906" w:h="16838"/>
          <w:pgMar w:top="1440" w:right="1800" w:bottom="1440" w:left="1800" w:header="851" w:footer="992" w:gutter="0"/>
          <w:pgNumType w:fmt="decimal"/>
          <w:cols w:space="425" w:num="1"/>
          <w:docGrid w:type="lines" w:linePitch="312" w:charSpace="0"/>
        </w:sectPr>
      </w:pPr>
    </w:p>
    <w:p>
      <w:pPr>
        <w:pStyle w:val="3"/>
        <w:pageBreakBefore w:val="0"/>
        <w:numPr>
          <w:ilvl w:val="1"/>
          <w:numId w:val="0"/>
        </w:numPr>
        <w:topLinePunct w:val="0"/>
        <w:bidi w:val="0"/>
        <w:snapToGrid/>
        <w:spacing w:line="240" w:lineRule="auto"/>
        <w:ind w:firstLine="1281" w:firstLineChars="400"/>
        <w:jc w:val="both"/>
        <w:outlineLvl w:val="0"/>
        <w:rPr>
          <w:rFonts w:hint="eastAsia" w:ascii="华文楷体" w:hAnsi="华文楷体" w:eastAsia="华文楷体" w:cs="华文楷体"/>
          <w:b/>
          <w:color w:val="FF0000"/>
          <w:kern w:val="0"/>
          <w:sz w:val="32"/>
          <w:szCs w:val="32"/>
          <w:lang w:val="en-US" w:eastAsia="zh-CN" w:bidi="ar-SA"/>
        </w:rPr>
      </w:pPr>
      <w:bookmarkStart w:id="48" w:name="_Toc14865"/>
      <w:bookmarkStart w:id="49" w:name="_Toc15409"/>
      <w:r>
        <w:rPr>
          <w:rFonts w:hint="eastAsia" w:ascii="华文楷体" w:hAnsi="华文楷体" w:eastAsia="华文楷体" w:cs="华文楷体"/>
          <w:b/>
          <w:color w:val="FF0000"/>
          <w:kern w:val="0"/>
          <w:sz w:val="32"/>
          <w:szCs w:val="32"/>
          <w:lang w:val="en-US" w:eastAsia="zh-CN" w:bidi="ar-SA"/>
        </w:rPr>
        <w:t>十二、响应人认为有必要提供的其他文件</w:t>
      </w:r>
      <w:bookmarkEnd w:id="48"/>
      <w:bookmarkEnd w:id="49"/>
    </w:p>
    <w:p>
      <w:pPr>
        <w:pageBreakBefore w:val="0"/>
        <w:topLinePunct w:val="0"/>
        <w:bidi w:val="0"/>
        <w:snapToGrid/>
        <w:spacing w:line="240" w:lineRule="auto"/>
        <w:jc w:val="center"/>
        <w:rPr>
          <w:rFonts w:hint="eastAsia" w:ascii="华文楷体" w:hAnsi="华文楷体" w:eastAsia="华文楷体" w:cs="华文楷体"/>
          <w:b w:val="0"/>
          <w:bCs w:val="0"/>
          <w:sz w:val="24"/>
          <w:szCs w:val="24"/>
          <w:u w:val="none"/>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sz w:val="24"/>
          <w:szCs w:val="24"/>
          <w:u w:val="none"/>
          <w:lang w:val="en-US" w:eastAsia="zh-CN"/>
        </w:rPr>
        <w:t>（格式自拟，加盖公章）</w:t>
      </w:r>
    </w:p>
    <w:p>
      <w:pPr>
        <w:rPr>
          <w:rFonts w:hint="eastAsia" w:ascii="华文楷体" w:hAnsi="华文楷体" w:eastAsia="华文楷体" w:cs="华文楷体"/>
          <w:sz w:val="24"/>
          <w:szCs w:val="24"/>
        </w:rPr>
      </w:pPr>
      <w:r>
        <w:rPr>
          <w:rFonts w:hint="eastAsia" w:ascii="华文楷体" w:hAnsi="华文楷体" w:eastAsia="华文楷体" w:cs="华文楷体"/>
          <w:b/>
          <w:color w:val="FF0000"/>
          <w:kern w:val="0"/>
          <w:sz w:val="32"/>
          <w:szCs w:val="32"/>
          <w:lang w:val="en-US" w:eastAsia="zh-CN" w:bidi="ar-SA"/>
        </w:rPr>
        <w:t>十三：二次报价承诺书</w:t>
      </w:r>
      <w:r>
        <w:rPr>
          <w:rFonts w:hint="eastAsia" w:ascii="华文楷体" w:hAnsi="华文楷体" w:eastAsia="华文楷体" w:cs="华文楷体"/>
          <w:b w:val="0"/>
          <w:bCs/>
          <w:color w:val="FF0000"/>
          <w:kern w:val="0"/>
          <w:sz w:val="24"/>
          <w:szCs w:val="24"/>
          <w:lang w:val="en-US" w:eastAsia="zh-CN" w:bidi="ar-SA"/>
        </w:rPr>
        <w:t>（</w:t>
      </w:r>
      <w:r>
        <w:rPr>
          <w:rFonts w:hint="eastAsia" w:ascii="华文楷体" w:hAnsi="华文楷体" w:eastAsia="华文楷体" w:cs="华文楷体"/>
          <w:b w:val="0"/>
          <w:bCs/>
          <w:color w:val="FF0000"/>
          <w:sz w:val="24"/>
          <w:szCs w:val="24"/>
        </w:rPr>
        <w:t>注意：此表</w:t>
      </w:r>
      <w:r>
        <w:rPr>
          <w:rFonts w:hint="eastAsia" w:ascii="华文楷体" w:hAnsi="华文楷体" w:eastAsia="华文楷体" w:cs="华文楷体"/>
          <w:b w:val="0"/>
          <w:bCs/>
          <w:color w:val="FF0000"/>
          <w:sz w:val="24"/>
          <w:szCs w:val="24"/>
          <w:lang w:eastAsia="zh-CN"/>
        </w:rPr>
        <w:t>同开标一览表填写完整，最终投标单价栏空白，不需装订在响应文件里，</w:t>
      </w:r>
      <w:r>
        <w:rPr>
          <w:rFonts w:hint="eastAsia" w:ascii="华文楷体" w:hAnsi="华文楷体" w:eastAsia="华文楷体" w:cs="华文楷体"/>
          <w:b w:val="0"/>
          <w:bCs/>
          <w:color w:val="FF0000"/>
          <w:sz w:val="24"/>
          <w:szCs w:val="24"/>
        </w:rPr>
        <w:t>单独打印加盖公章</w:t>
      </w:r>
      <w:r>
        <w:rPr>
          <w:rFonts w:hint="eastAsia" w:ascii="华文楷体" w:hAnsi="华文楷体" w:eastAsia="华文楷体" w:cs="华文楷体"/>
          <w:b w:val="0"/>
          <w:bCs/>
          <w:color w:val="FF0000"/>
          <w:sz w:val="24"/>
          <w:szCs w:val="24"/>
          <w:lang w:eastAsia="zh-CN"/>
        </w:rPr>
        <w:t>后带到谈判现场谈判结束后再填写最终投标单价！）</w:t>
      </w: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ascii="华文楷体" w:hAnsi="华文楷体" w:eastAsia="华文楷体" w:cs="华文楷体"/>
          <w:color w:val="auto"/>
          <w:sz w:val="28"/>
          <w:szCs w:val="28"/>
          <w:highlight w:val="none"/>
        </w:rPr>
      </w:pPr>
      <w:bookmarkStart w:id="50" w:name="_Toc7590"/>
      <w:bookmarkStart w:id="51" w:name="_Toc26533"/>
      <w:bookmarkStart w:id="52" w:name="_Toc19048"/>
      <w:bookmarkStart w:id="53" w:name="_Toc5152"/>
      <w:bookmarkStart w:id="54" w:name="_Toc25364"/>
      <w:bookmarkStart w:id="55" w:name="_Toc23910"/>
      <w:r>
        <w:rPr>
          <w:rFonts w:hint="eastAsia" w:ascii="华文楷体" w:hAnsi="华文楷体" w:eastAsia="华文楷体" w:cs="华文楷体"/>
          <w:b/>
          <w:bCs/>
          <w:color w:val="auto"/>
          <w:sz w:val="28"/>
          <w:szCs w:val="28"/>
          <w:highlight w:val="none"/>
        </w:rPr>
        <w:t>致：</w:t>
      </w:r>
      <w:bookmarkEnd w:id="50"/>
      <w:bookmarkEnd w:id="51"/>
      <w:r>
        <w:rPr>
          <w:rFonts w:hint="eastAsia" w:ascii="华文楷体" w:hAnsi="华文楷体" w:eastAsia="华文楷体" w:cs="华文楷体"/>
          <w:color w:val="auto"/>
          <w:sz w:val="28"/>
          <w:szCs w:val="28"/>
          <w:highlight w:val="none"/>
          <w:lang w:val="en-US" w:eastAsia="zh-CN"/>
        </w:rPr>
        <w:t>安宁市第一人民医院</w:t>
      </w:r>
      <w:bookmarkEnd w:id="52"/>
      <w:bookmarkEnd w:id="53"/>
      <w:bookmarkEnd w:id="54"/>
      <w:bookmarkEnd w:id="55"/>
      <w:r>
        <w:rPr>
          <w:rFonts w:hint="eastAsia" w:ascii="华文楷体" w:hAnsi="华文楷体" w:eastAsia="华文楷体" w:cs="华文楷体"/>
          <w:color w:val="auto"/>
          <w:sz w:val="28"/>
          <w:szCs w:val="28"/>
          <w:highlight w:val="none"/>
          <w:lang w:val="en-US" w:eastAsia="zh-CN"/>
        </w:rPr>
        <w:t>，</w:t>
      </w:r>
      <w:r>
        <w:rPr>
          <w:rFonts w:hint="eastAsia" w:ascii="华文楷体" w:hAnsi="华文楷体" w:eastAsia="华文楷体" w:cs="华文楷体"/>
          <w:color w:val="auto"/>
          <w:sz w:val="28"/>
          <w:szCs w:val="28"/>
          <w:highlight w:val="none"/>
        </w:rPr>
        <w:t>根据</w:t>
      </w:r>
      <w:r>
        <w:rPr>
          <w:rFonts w:hint="eastAsia" w:ascii="华文楷体" w:hAnsi="华文楷体" w:eastAsia="华文楷体" w:cs="华文楷体"/>
          <w:color w:val="auto"/>
          <w:sz w:val="28"/>
          <w:szCs w:val="28"/>
          <w:highlight w:val="none"/>
          <w:lang w:eastAsia="zh-CN"/>
        </w:rPr>
        <w:t>贵</w:t>
      </w:r>
      <w:r>
        <w:rPr>
          <w:rFonts w:hint="eastAsia" w:ascii="华文楷体" w:hAnsi="华文楷体" w:eastAsia="华文楷体" w:cs="华文楷体"/>
          <w:color w:val="auto"/>
          <w:sz w:val="28"/>
          <w:szCs w:val="28"/>
          <w:highlight w:val="none"/>
        </w:rPr>
        <w:t>方</w:t>
      </w:r>
      <w:r>
        <w:rPr>
          <w:rFonts w:hint="eastAsia" w:ascii="华文楷体" w:hAnsi="华文楷体" w:eastAsia="华文楷体" w:cs="华文楷体"/>
          <w:color w:val="auto"/>
          <w:sz w:val="28"/>
          <w:szCs w:val="28"/>
          <w:highlight w:val="none"/>
          <w:u w:val="single"/>
        </w:rPr>
        <w:t>安宁市第一人民医院特殊气体采购项目(2024-2027)</w:t>
      </w:r>
      <w:r>
        <w:rPr>
          <w:rFonts w:hint="eastAsia" w:ascii="华文楷体" w:hAnsi="华文楷体" w:eastAsia="华文楷体" w:cs="华文楷体"/>
          <w:color w:val="auto"/>
          <w:sz w:val="28"/>
          <w:szCs w:val="28"/>
          <w:highlight w:val="none"/>
          <w:lang w:eastAsia="zh-CN"/>
        </w:rPr>
        <w:t>采购需求</w:t>
      </w:r>
      <w:r>
        <w:rPr>
          <w:rFonts w:hint="eastAsia" w:ascii="华文楷体" w:hAnsi="华文楷体" w:eastAsia="华文楷体" w:cs="华文楷体"/>
          <w:color w:val="auto"/>
          <w:sz w:val="28"/>
          <w:szCs w:val="28"/>
          <w:highlight w:val="none"/>
        </w:rPr>
        <w:t>，我方愿按</w:t>
      </w:r>
      <w:r>
        <w:rPr>
          <w:rFonts w:hint="eastAsia" w:ascii="华文楷体" w:hAnsi="华文楷体" w:eastAsia="华文楷体" w:cs="华文楷体"/>
          <w:color w:val="auto"/>
          <w:sz w:val="28"/>
          <w:szCs w:val="28"/>
          <w:highlight w:val="none"/>
          <w:lang w:eastAsia="zh-CN"/>
        </w:rPr>
        <w:t>以下报价作为</w:t>
      </w:r>
      <w:r>
        <w:rPr>
          <w:rFonts w:hint="eastAsia" w:ascii="华文楷体" w:hAnsi="华文楷体" w:eastAsia="华文楷体" w:cs="华文楷体"/>
          <w:color w:val="auto"/>
          <w:sz w:val="28"/>
          <w:szCs w:val="28"/>
          <w:highlight w:val="none"/>
        </w:rPr>
        <w:t>最终</w:t>
      </w:r>
      <w:r>
        <w:rPr>
          <w:rFonts w:hint="eastAsia" w:ascii="华文楷体" w:hAnsi="华文楷体" w:eastAsia="华文楷体" w:cs="华文楷体"/>
          <w:color w:val="auto"/>
          <w:sz w:val="28"/>
          <w:szCs w:val="28"/>
          <w:highlight w:val="none"/>
          <w:lang w:eastAsia="zh-CN"/>
        </w:rPr>
        <w:t>谈判</w:t>
      </w:r>
      <w:r>
        <w:rPr>
          <w:rFonts w:hint="eastAsia" w:ascii="华文楷体" w:hAnsi="华文楷体" w:eastAsia="华文楷体" w:cs="华文楷体"/>
          <w:color w:val="auto"/>
          <w:sz w:val="28"/>
          <w:szCs w:val="28"/>
          <w:highlight w:val="none"/>
        </w:rPr>
        <w:t>报价</w:t>
      </w:r>
      <w:r>
        <w:rPr>
          <w:rFonts w:hint="eastAsia" w:ascii="华文楷体" w:hAnsi="华文楷体" w:eastAsia="华文楷体" w:cs="华文楷体"/>
          <w:color w:val="auto"/>
          <w:sz w:val="28"/>
          <w:szCs w:val="28"/>
          <w:highlight w:val="none"/>
          <w:lang w:eastAsia="zh-CN"/>
        </w:rPr>
        <w:t>，</w:t>
      </w:r>
      <w:r>
        <w:rPr>
          <w:rFonts w:hint="eastAsia" w:ascii="华文楷体" w:hAnsi="华文楷体" w:eastAsia="华文楷体" w:cs="华文楷体"/>
          <w:color w:val="auto"/>
          <w:sz w:val="28"/>
          <w:szCs w:val="28"/>
          <w:highlight w:val="none"/>
        </w:rPr>
        <w:t>承担相应的服务工作。</w:t>
      </w:r>
    </w:p>
    <w:tbl>
      <w:tblPr>
        <w:tblStyle w:val="17"/>
        <w:tblpPr w:leftFromText="180" w:rightFromText="180" w:vertAnchor="text" w:horzAnchor="page" w:tblpX="878" w:tblpY="195"/>
        <w:tblOverlap w:val="never"/>
        <w:tblW w:w="15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
        <w:gridCol w:w="1635"/>
        <w:gridCol w:w="1620"/>
        <w:gridCol w:w="1260"/>
        <w:gridCol w:w="1575"/>
        <w:gridCol w:w="795"/>
        <w:gridCol w:w="1245"/>
        <w:gridCol w:w="1530"/>
        <w:gridCol w:w="5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exact"/>
        </w:trPr>
        <w:tc>
          <w:tcPr>
            <w:tcW w:w="40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default"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序号</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招标产品通用名称</w:t>
            </w:r>
          </w:p>
        </w:tc>
        <w:tc>
          <w:tcPr>
            <w:tcW w:w="162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w:t>
            </w:r>
            <w:r>
              <w:rPr>
                <w:rFonts w:hint="eastAsia" w:ascii="华文楷体" w:hAnsi="华文楷体" w:eastAsia="华文楷体" w:cs="华文楷体"/>
                <w:b/>
                <w:bCs/>
                <w:szCs w:val="21"/>
              </w:rPr>
              <w:t>产品</w:t>
            </w:r>
            <w:r>
              <w:rPr>
                <w:rFonts w:hint="eastAsia" w:ascii="华文楷体" w:hAnsi="华文楷体" w:eastAsia="华文楷体" w:cs="华文楷体"/>
                <w:b/>
                <w:bCs/>
                <w:szCs w:val="21"/>
                <w:lang w:eastAsia="zh-CN"/>
              </w:rPr>
              <w:t>注册名称</w:t>
            </w:r>
            <w:r>
              <w:rPr>
                <w:rFonts w:hint="eastAsia" w:ascii="华文楷体" w:hAnsi="华文楷体" w:eastAsia="华文楷体" w:cs="华文楷体"/>
                <w:b/>
                <w:bCs/>
                <w:szCs w:val="21"/>
                <w:lang w:val="en-US" w:eastAsia="zh-CN"/>
              </w:rPr>
              <w:t>/投标产品包装标签名称</w:t>
            </w: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投标产品生产厂家</w:t>
            </w: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投标产品</w:t>
            </w:r>
          </w:p>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含量</w:t>
            </w:r>
          </w:p>
        </w:tc>
        <w:tc>
          <w:tcPr>
            <w:tcW w:w="7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w:t>
            </w:r>
          </w:p>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单位</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计价单位包装规格</w:t>
            </w:r>
          </w:p>
        </w:tc>
        <w:tc>
          <w:tcPr>
            <w:tcW w:w="153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eastAsia="zh-CN"/>
              </w:rPr>
            </w:pPr>
            <w:r>
              <w:rPr>
                <w:rFonts w:hint="eastAsia" w:ascii="华文楷体" w:hAnsi="华文楷体" w:eastAsia="华文楷体" w:cs="华文楷体"/>
                <w:b/>
                <w:bCs/>
                <w:szCs w:val="21"/>
                <w:lang w:eastAsia="zh-CN"/>
              </w:rPr>
              <w:t>计价单位</w:t>
            </w:r>
          </w:p>
          <w:p>
            <w:pPr>
              <w:spacing w:line="280" w:lineRule="exact"/>
              <w:jc w:val="center"/>
              <w:rPr>
                <w:rFonts w:hint="eastAsia" w:ascii="华文楷体" w:hAnsi="华文楷体" w:eastAsia="华文楷体" w:cs="华文楷体"/>
                <w:b/>
                <w:bCs/>
                <w:szCs w:val="21"/>
              </w:rPr>
            </w:pPr>
            <w:r>
              <w:rPr>
                <w:rFonts w:hint="eastAsia" w:ascii="华文楷体" w:hAnsi="华文楷体" w:eastAsia="华文楷体" w:cs="华文楷体"/>
                <w:b/>
                <w:bCs/>
                <w:szCs w:val="21"/>
                <w:lang w:eastAsia="zh-CN"/>
              </w:rPr>
              <w:t>报价</w:t>
            </w:r>
          </w:p>
        </w:tc>
        <w:tc>
          <w:tcPr>
            <w:tcW w:w="529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b/>
                <w:bCs/>
                <w:szCs w:val="21"/>
                <w:lang w:val="en-US" w:eastAsia="zh-CN"/>
              </w:rPr>
            </w:pPr>
            <w:r>
              <w:rPr>
                <w:rFonts w:hint="eastAsia" w:ascii="华文楷体" w:hAnsi="华文楷体" w:eastAsia="华文楷体" w:cs="华文楷体"/>
                <w:b/>
                <w:bCs/>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1</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lang w:eastAsia="zh-CN"/>
              </w:rPr>
            </w:pPr>
            <w:r>
              <w:rPr>
                <w:rFonts w:hint="eastAsia" w:ascii="华文楷体" w:hAnsi="华文楷体" w:eastAsia="华文楷体" w:cs="华文楷体"/>
              </w:rPr>
              <w:t>二氧化碳</w:t>
            </w:r>
            <w:r>
              <w:rPr>
                <w:rFonts w:hint="eastAsia" w:ascii="华文楷体" w:hAnsi="华文楷体" w:eastAsia="华文楷体" w:cs="华文楷体"/>
                <w:lang w:eastAsia="zh-CN"/>
              </w:rPr>
              <w:t>气体</w:t>
            </w:r>
            <w:r>
              <w:rPr>
                <w:rFonts w:hint="eastAsia" w:ascii="华文楷体" w:hAnsi="华文楷体" w:eastAsia="华文楷体" w:cs="华文楷体"/>
              </w:rPr>
              <w:t>(99.5</w:t>
            </w:r>
            <w:r>
              <w:rPr>
                <w:rFonts w:hint="eastAsia" w:ascii="华文楷体" w:hAnsi="华文楷体" w:eastAsia="华文楷体" w:cs="华文楷体"/>
                <w:lang w:val="en-US" w:eastAsia="zh-CN"/>
              </w:rPr>
              <w:t>%</w:t>
            </w:r>
            <w:r>
              <w:rPr>
                <w:rFonts w:hint="eastAsia" w:ascii="华文楷体" w:hAnsi="华文楷体" w:eastAsia="华文楷体" w:cs="华文楷体"/>
              </w:rPr>
              <w:t>)</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center"/>
          </w:tcPr>
          <w:p>
            <w:pPr>
              <w:spacing w:line="280" w:lineRule="exact"/>
              <w:jc w:val="center"/>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2</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lang w:eastAsia="zh-CN"/>
              </w:rPr>
            </w:pPr>
            <w:r>
              <w:rPr>
                <w:rFonts w:hint="eastAsia" w:ascii="华文楷体" w:hAnsi="华文楷体" w:eastAsia="华文楷体" w:cs="华文楷体"/>
              </w:rPr>
              <w:t>肺功能</w:t>
            </w:r>
            <w:r>
              <w:rPr>
                <w:rFonts w:hint="eastAsia" w:ascii="华文楷体" w:hAnsi="华文楷体" w:eastAsia="华文楷体" w:cs="华文楷体"/>
                <w:lang w:eastAsia="zh-CN"/>
              </w:rPr>
              <w:t>检测混合气体</w:t>
            </w:r>
            <w:r>
              <w:rPr>
                <w:rFonts w:hint="eastAsia" w:ascii="华文楷体" w:hAnsi="华文楷体" w:eastAsia="华文楷体" w:cs="华文楷体"/>
              </w:rPr>
              <w:t>(0.3%(C2H2, CH4,CO )&amp;Air )</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3</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rPr>
            </w:pPr>
            <w:r>
              <w:rPr>
                <w:rFonts w:hint="eastAsia" w:ascii="华文楷体" w:hAnsi="华文楷体" w:eastAsia="华文楷体" w:cs="华文楷体"/>
              </w:rPr>
              <w:t>液氮</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40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default" w:ascii="华文楷体" w:hAnsi="华文楷体" w:eastAsia="华文楷体" w:cs="华文楷体"/>
                <w:sz w:val="24"/>
                <w:lang w:val="en-US" w:eastAsia="zh-CN"/>
              </w:rPr>
            </w:pPr>
            <w:r>
              <w:rPr>
                <w:rFonts w:hint="eastAsia" w:ascii="华文楷体" w:hAnsi="华文楷体" w:eastAsia="华文楷体" w:cs="华文楷体"/>
                <w:sz w:val="24"/>
                <w:lang w:val="en-US" w:eastAsia="zh-CN"/>
              </w:rPr>
              <w:t>4</w:t>
            </w:r>
          </w:p>
        </w:tc>
        <w:tc>
          <w:tcPr>
            <w:tcW w:w="163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rPr>
                <w:rFonts w:hint="eastAsia" w:ascii="华文楷体" w:hAnsi="华文楷体" w:eastAsia="华文楷体" w:cs="华文楷体"/>
                <w:sz w:val="21"/>
                <w:szCs w:val="21"/>
              </w:rPr>
            </w:pPr>
            <w:r>
              <w:rPr>
                <w:rFonts w:hint="eastAsia" w:ascii="华文楷体" w:hAnsi="华文楷体" w:eastAsia="华文楷体" w:cs="华文楷体"/>
                <w:lang w:eastAsia="zh-CN"/>
              </w:rPr>
              <w:t>食品级</w:t>
            </w:r>
            <w:r>
              <w:rPr>
                <w:rFonts w:hint="eastAsia" w:ascii="华文楷体" w:hAnsi="华文楷体" w:eastAsia="华文楷体" w:cs="华文楷体"/>
              </w:rPr>
              <w:t>二氧化碳</w:t>
            </w:r>
            <w:r>
              <w:rPr>
                <w:rFonts w:hint="eastAsia" w:ascii="华文楷体" w:hAnsi="华文楷体" w:eastAsia="华文楷体" w:cs="华文楷体"/>
                <w:lang w:eastAsia="zh-CN"/>
              </w:rPr>
              <w:t>（</w:t>
            </w:r>
            <w:r>
              <w:rPr>
                <w:rFonts w:hint="eastAsia" w:ascii="华文楷体" w:hAnsi="华文楷体" w:eastAsia="华文楷体" w:cs="华文楷体"/>
                <w:lang w:val="en-US" w:eastAsia="zh-CN"/>
              </w:rPr>
              <w:t>99.9%</w:t>
            </w:r>
            <w:r>
              <w:rPr>
                <w:rFonts w:hint="eastAsia" w:ascii="华文楷体" w:hAnsi="华文楷体" w:eastAsia="华文楷体" w:cs="华文楷体"/>
                <w:lang w:eastAsia="zh-CN"/>
              </w:rPr>
              <w:t>）</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7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79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snapToGrid w:val="0"/>
              <w:spacing w:line="560" w:lineRule="exact"/>
              <w:jc w:val="both"/>
              <w:textAlignment w:val="auto"/>
              <w:rPr>
                <w:rFonts w:hint="eastAsia" w:ascii="华文楷体" w:hAnsi="华文楷体" w:eastAsia="华文楷体" w:cs="华文楷体"/>
                <w:sz w:val="24"/>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535" w:type="dxa"/>
            <w:gridSpan w:val="7"/>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华文楷体" w:hAnsi="华文楷体" w:eastAsia="华文楷体" w:cs="华文楷体"/>
                <w:sz w:val="24"/>
                <w:lang w:eastAsia="zh-CN"/>
              </w:rPr>
            </w:pPr>
            <w:r>
              <w:rPr>
                <w:rFonts w:hint="eastAsia" w:ascii="华文楷体" w:hAnsi="华文楷体" w:eastAsia="华文楷体" w:cs="华文楷体"/>
                <w:b/>
                <w:bCs/>
                <w:sz w:val="24"/>
                <w:lang w:eastAsia="zh-CN"/>
              </w:rPr>
              <w:t>计价单位报价合计</w:t>
            </w:r>
          </w:p>
        </w:tc>
        <w:tc>
          <w:tcPr>
            <w:tcW w:w="153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c>
          <w:tcPr>
            <w:tcW w:w="529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华文楷体" w:hAnsi="华文楷体" w:eastAsia="华文楷体" w:cs="华文楷体"/>
                <w:sz w:val="24"/>
              </w:rPr>
            </w:pPr>
          </w:p>
        </w:tc>
      </w:tr>
    </w:tbl>
    <w:p>
      <w:pPr>
        <w:spacing w:line="360" w:lineRule="auto"/>
        <w:ind w:firstLine="9120" w:firstLineChars="38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lang w:eastAsia="zh-CN"/>
        </w:rPr>
        <w:t>响应</w:t>
      </w:r>
      <w:r>
        <w:rPr>
          <w:rFonts w:hint="eastAsia" w:ascii="华文楷体" w:hAnsi="华文楷体" w:eastAsia="华文楷体" w:cs="华文楷体"/>
          <w:sz w:val="24"/>
          <w:szCs w:val="24"/>
        </w:rPr>
        <w:t>人：                     （加盖公章）</w:t>
      </w:r>
    </w:p>
    <w:p>
      <w:pPr>
        <w:spacing w:line="360" w:lineRule="auto"/>
        <w:ind w:firstLine="9360" w:firstLineChars="3900"/>
        <w:jc w:val="both"/>
        <w:rPr>
          <w:rFonts w:hint="eastAsia" w:ascii="华文楷体" w:hAnsi="华文楷体" w:eastAsia="华文楷体" w:cs="华文楷体"/>
          <w:sz w:val="24"/>
          <w:szCs w:val="24"/>
        </w:rPr>
      </w:pPr>
      <w:r>
        <w:rPr>
          <w:rFonts w:hint="eastAsia" w:ascii="华文楷体" w:hAnsi="华文楷体" w:eastAsia="华文楷体" w:cs="华文楷体"/>
          <w:sz w:val="24"/>
          <w:szCs w:val="24"/>
        </w:rPr>
        <w:t xml:space="preserve">法定代表人或其委托代理人（签字或盖章）             </w:t>
      </w:r>
    </w:p>
    <w:p>
      <w:pPr>
        <w:pageBreakBefore w:val="0"/>
        <w:widowControl w:val="0"/>
        <w:topLinePunct w:val="0"/>
        <w:bidi w:val="0"/>
        <w:snapToGrid/>
        <w:spacing w:line="240" w:lineRule="auto"/>
        <w:ind w:left="36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sz w:val="24"/>
          <w:szCs w:val="24"/>
          <w:lang w:val="en-US" w:eastAsia="zh-CN"/>
        </w:rPr>
        <w:t xml:space="preserve">                                                                                       </w:t>
      </w:r>
      <w:r>
        <w:rPr>
          <w:rFonts w:hint="eastAsia" w:ascii="华文楷体" w:hAnsi="华文楷体" w:eastAsia="华文楷体" w:cs="华文楷体"/>
          <w:sz w:val="24"/>
          <w:szCs w:val="24"/>
        </w:rPr>
        <w:t>年   月   日</w:t>
      </w:r>
    </w:p>
    <w:sectPr>
      <w:pgSz w:w="16838" w:h="11906" w:orient="landscape"/>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322EB9"/>
    <w:rsid w:val="04347B65"/>
    <w:rsid w:val="05083B6F"/>
    <w:rsid w:val="061D614D"/>
    <w:rsid w:val="06A74829"/>
    <w:rsid w:val="07FD6DF7"/>
    <w:rsid w:val="08457558"/>
    <w:rsid w:val="09670477"/>
    <w:rsid w:val="0AD83203"/>
    <w:rsid w:val="0AF15004"/>
    <w:rsid w:val="0BF75073"/>
    <w:rsid w:val="0D1A7E23"/>
    <w:rsid w:val="0E194378"/>
    <w:rsid w:val="0E543FA7"/>
    <w:rsid w:val="0E6F197A"/>
    <w:rsid w:val="0F1E4AAF"/>
    <w:rsid w:val="1004704F"/>
    <w:rsid w:val="10762BDF"/>
    <w:rsid w:val="122009AF"/>
    <w:rsid w:val="12704669"/>
    <w:rsid w:val="1290609D"/>
    <w:rsid w:val="12B44329"/>
    <w:rsid w:val="12F13861"/>
    <w:rsid w:val="143A4F2F"/>
    <w:rsid w:val="144F2FB5"/>
    <w:rsid w:val="1513659E"/>
    <w:rsid w:val="155E1FBF"/>
    <w:rsid w:val="157E577E"/>
    <w:rsid w:val="16D95624"/>
    <w:rsid w:val="17391B01"/>
    <w:rsid w:val="188B28E3"/>
    <w:rsid w:val="1A5225DD"/>
    <w:rsid w:val="1A5861A9"/>
    <w:rsid w:val="1B932335"/>
    <w:rsid w:val="1BDD3C44"/>
    <w:rsid w:val="1C292AE4"/>
    <w:rsid w:val="1C5D582C"/>
    <w:rsid w:val="1DE27252"/>
    <w:rsid w:val="1E2C535C"/>
    <w:rsid w:val="21750BB9"/>
    <w:rsid w:val="22210E0A"/>
    <w:rsid w:val="24363CA5"/>
    <w:rsid w:val="244E37D6"/>
    <w:rsid w:val="24E75EC4"/>
    <w:rsid w:val="24F20F0E"/>
    <w:rsid w:val="25555A3E"/>
    <w:rsid w:val="25794F64"/>
    <w:rsid w:val="26C708A4"/>
    <w:rsid w:val="26E2013A"/>
    <w:rsid w:val="278C672D"/>
    <w:rsid w:val="280A2CD0"/>
    <w:rsid w:val="281B1F07"/>
    <w:rsid w:val="281D224A"/>
    <w:rsid w:val="29324A92"/>
    <w:rsid w:val="29374396"/>
    <w:rsid w:val="2A0D0CC4"/>
    <w:rsid w:val="2A30761E"/>
    <w:rsid w:val="2AA23D90"/>
    <w:rsid w:val="2AC271DA"/>
    <w:rsid w:val="2AEB6BB7"/>
    <w:rsid w:val="2B63629F"/>
    <w:rsid w:val="2BC65440"/>
    <w:rsid w:val="2CA945A8"/>
    <w:rsid w:val="2CB471D5"/>
    <w:rsid w:val="2E3F51C4"/>
    <w:rsid w:val="2EFC7E35"/>
    <w:rsid w:val="2F6E0835"/>
    <w:rsid w:val="313A6169"/>
    <w:rsid w:val="321E478D"/>
    <w:rsid w:val="32425718"/>
    <w:rsid w:val="329810D4"/>
    <w:rsid w:val="33C90985"/>
    <w:rsid w:val="34084EE4"/>
    <w:rsid w:val="345873FE"/>
    <w:rsid w:val="345968B4"/>
    <w:rsid w:val="35601B5C"/>
    <w:rsid w:val="35B36906"/>
    <w:rsid w:val="35C247F2"/>
    <w:rsid w:val="36A4329F"/>
    <w:rsid w:val="37565737"/>
    <w:rsid w:val="38190834"/>
    <w:rsid w:val="38410DFC"/>
    <w:rsid w:val="38766AAA"/>
    <w:rsid w:val="38F00C52"/>
    <w:rsid w:val="394E5ABB"/>
    <w:rsid w:val="39BF18AF"/>
    <w:rsid w:val="3A3A3D05"/>
    <w:rsid w:val="3B30289A"/>
    <w:rsid w:val="3B7D557D"/>
    <w:rsid w:val="3C2F0E1D"/>
    <w:rsid w:val="3D114B03"/>
    <w:rsid w:val="3DF5379A"/>
    <w:rsid w:val="3E0C3B84"/>
    <w:rsid w:val="3E896745"/>
    <w:rsid w:val="3EC86424"/>
    <w:rsid w:val="3ECC77BE"/>
    <w:rsid w:val="3F4F5483"/>
    <w:rsid w:val="40296E63"/>
    <w:rsid w:val="402A0309"/>
    <w:rsid w:val="40625958"/>
    <w:rsid w:val="41106504"/>
    <w:rsid w:val="41953229"/>
    <w:rsid w:val="422034E7"/>
    <w:rsid w:val="426F4017"/>
    <w:rsid w:val="438D13C5"/>
    <w:rsid w:val="44115C2A"/>
    <w:rsid w:val="44241CD7"/>
    <w:rsid w:val="442742D8"/>
    <w:rsid w:val="44676AFA"/>
    <w:rsid w:val="446F6C9C"/>
    <w:rsid w:val="44B66409"/>
    <w:rsid w:val="45680BAE"/>
    <w:rsid w:val="457277D5"/>
    <w:rsid w:val="46A05541"/>
    <w:rsid w:val="47F47107"/>
    <w:rsid w:val="48EC5ABB"/>
    <w:rsid w:val="49203136"/>
    <w:rsid w:val="49FB2F07"/>
    <w:rsid w:val="4A5A3051"/>
    <w:rsid w:val="4C3D15ED"/>
    <w:rsid w:val="4CA00035"/>
    <w:rsid w:val="4CC41C4C"/>
    <w:rsid w:val="4D7E1CD3"/>
    <w:rsid w:val="4DF84F0A"/>
    <w:rsid w:val="4DFA0CB0"/>
    <w:rsid w:val="4DFE254E"/>
    <w:rsid w:val="4E2E66ED"/>
    <w:rsid w:val="4EED611E"/>
    <w:rsid w:val="4EF14EB0"/>
    <w:rsid w:val="4EF63225"/>
    <w:rsid w:val="4F3855EC"/>
    <w:rsid w:val="4FFF25C4"/>
    <w:rsid w:val="506D3DCA"/>
    <w:rsid w:val="50B31D37"/>
    <w:rsid w:val="51807280"/>
    <w:rsid w:val="523B68B8"/>
    <w:rsid w:val="5244074B"/>
    <w:rsid w:val="524C082A"/>
    <w:rsid w:val="52B814BD"/>
    <w:rsid w:val="534053B7"/>
    <w:rsid w:val="53962548"/>
    <w:rsid w:val="53AD61F7"/>
    <w:rsid w:val="54280337"/>
    <w:rsid w:val="55F4336C"/>
    <w:rsid w:val="560E24E2"/>
    <w:rsid w:val="564839BD"/>
    <w:rsid w:val="58FE3FD3"/>
    <w:rsid w:val="599F73C0"/>
    <w:rsid w:val="59A94439"/>
    <w:rsid w:val="5A643739"/>
    <w:rsid w:val="5A8738CB"/>
    <w:rsid w:val="5AEE04A2"/>
    <w:rsid w:val="5AF2343A"/>
    <w:rsid w:val="5BCC36DC"/>
    <w:rsid w:val="5D47454B"/>
    <w:rsid w:val="5D8E4C63"/>
    <w:rsid w:val="5E4D2736"/>
    <w:rsid w:val="5E5139F5"/>
    <w:rsid w:val="5EB87851"/>
    <w:rsid w:val="5EFC4888"/>
    <w:rsid w:val="5F4E3341"/>
    <w:rsid w:val="60250735"/>
    <w:rsid w:val="607C7F1A"/>
    <w:rsid w:val="60F905B4"/>
    <w:rsid w:val="612754C0"/>
    <w:rsid w:val="61503641"/>
    <w:rsid w:val="6231187C"/>
    <w:rsid w:val="62D97D14"/>
    <w:rsid w:val="62DC4D1B"/>
    <w:rsid w:val="63C35930"/>
    <w:rsid w:val="63E13A47"/>
    <w:rsid w:val="647E2B41"/>
    <w:rsid w:val="64D462AF"/>
    <w:rsid w:val="65216151"/>
    <w:rsid w:val="65844F8D"/>
    <w:rsid w:val="6589514F"/>
    <w:rsid w:val="67155C33"/>
    <w:rsid w:val="67E763C9"/>
    <w:rsid w:val="6853570F"/>
    <w:rsid w:val="68F34846"/>
    <w:rsid w:val="691F21D5"/>
    <w:rsid w:val="69AB1384"/>
    <w:rsid w:val="69AE723D"/>
    <w:rsid w:val="6A0B073A"/>
    <w:rsid w:val="6A333703"/>
    <w:rsid w:val="6AB76205"/>
    <w:rsid w:val="6B480E55"/>
    <w:rsid w:val="6B783ACA"/>
    <w:rsid w:val="6BE321F3"/>
    <w:rsid w:val="6C180827"/>
    <w:rsid w:val="6D0A6409"/>
    <w:rsid w:val="6D413DAD"/>
    <w:rsid w:val="6D867D65"/>
    <w:rsid w:val="6D8C36B9"/>
    <w:rsid w:val="6DE2733E"/>
    <w:rsid w:val="6E096679"/>
    <w:rsid w:val="6E5770AB"/>
    <w:rsid w:val="6F6F593A"/>
    <w:rsid w:val="7064403B"/>
    <w:rsid w:val="707E5225"/>
    <w:rsid w:val="71615B93"/>
    <w:rsid w:val="727E1BD2"/>
    <w:rsid w:val="739A6307"/>
    <w:rsid w:val="73F731C7"/>
    <w:rsid w:val="73FF59A6"/>
    <w:rsid w:val="74203FD3"/>
    <w:rsid w:val="745B1903"/>
    <w:rsid w:val="74BA06CD"/>
    <w:rsid w:val="761A0506"/>
    <w:rsid w:val="77F2017E"/>
    <w:rsid w:val="786814A1"/>
    <w:rsid w:val="7899684C"/>
    <w:rsid w:val="7B870E80"/>
    <w:rsid w:val="7B955A8D"/>
    <w:rsid w:val="7BB353EB"/>
    <w:rsid w:val="7C585349"/>
    <w:rsid w:val="7CCD6BFD"/>
    <w:rsid w:val="7D4D49B8"/>
    <w:rsid w:val="7EE64A8C"/>
    <w:rsid w:val="7F5657F4"/>
    <w:rsid w:val="7FA77AA0"/>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autoRedefine/>
    <w:semiHidden/>
    <w:qFormat/>
    <w:uiPriority w:val="0"/>
  </w:style>
  <w:style w:type="table" w:default="1" w:styleId="17">
    <w:name w:val="Normal Table"/>
    <w:autoRedefine/>
    <w:semiHidden/>
    <w:qFormat/>
    <w:uiPriority w:val="0"/>
    <w:tblPr>
      <w:tblCellMar>
        <w:top w:w="0" w:type="dxa"/>
        <w:left w:w="108" w:type="dxa"/>
        <w:bottom w:w="0" w:type="dxa"/>
        <w:right w:w="108" w:type="dxa"/>
      </w:tblCellMar>
    </w:tblPr>
  </w:style>
  <w:style w:type="paragraph" w:styleId="6">
    <w:name w:val="Document Map"/>
    <w:basedOn w:val="1"/>
    <w:autoRedefine/>
    <w:unhideWhenUsed/>
    <w:qFormat/>
    <w:uiPriority w:val="99"/>
    <w:rPr>
      <w:rFonts w:ascii="宋体" w:eastAsia="宋体"/>
      <w:sz w:val="18"/>
      <w:szCs w:val="18"/>
    </w:rPr>
  </w:style>
  <w:style w:type="paragraph" w:styleId="7">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8">
    <w:name w:val="Body Text"/>
    <w:basedOn w:val="1"/>
    <w:autoRedefine/>
    <w:qFormat/>
    <w:uiPriority w:val="0"/>
    <w:pPr>
      <w:spacing w:after="120"/>
    </w:pPr>
  </w:style>
  <w:style w:type="paragraph" w:styleId="9">
    <w:name w:val="toc 3"/>
    <w:basedOn w:val="1"/>
    <w:next w:val="1"/>
    <w:autoRedefine/>
    <w:qFormat/>
    <w:uiPriority w:val="0"/>
    <w:pPr>
      <w:ind w:left="840" w:leftChars="400"/>
    </w:pPr>
  </w:style>
  <w:style w:type="paragraph" w:styleId="10">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Body Text 2"/>
    <w:basedOn w:val="1"/>
    <w:autoRedefine/>
    <w:qFormat/>
    <w:uiPriority w:val="0"/>
    <w:rPr>
      <w:rFonts w:ascii="宋体"/>
      <w:sz w:val="13"/>
      <w:szCs w:val="20"/>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8">
    <w:name w:val="Table Grid"/>
    <w:basedOn w:val="17"/>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autoRedefine/>
    <w:qFormat/>
    <w:uiPriority w:val="0"/>
  </w:style>
  <w:style w:type="paragraph" w:customStyle="1" w:styleId="21">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2">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3">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4">
    <w:name w:val="style4"/>
    <w:basedOn w:val="1"/>
    <w:next w:val="25"/>
    <w:autoRedefine/>
    <w:qFormat/>
    <w:uiPriority w:val="0"/>
    <w:pPr>
      <w:widowControl/>
      <w:spacing w:before="280" w:after="280"/>
    </w:pPr>
    <w:rPr>
      <w:rFonts w:ascii="宋体" w:eastAsia="宋体"/>
      <w:sz w:val="18"/>
    </w:rPr>
  </w:style>
  <w:style w:type="paragraph" w:customStyle="1" w:styleId="25">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6">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2763</Words>
  <Characters>2970</Characters>
  <Lines>0</Lines>
  <Paragraphs>0</Paragraphs>
  <TotalTime>0</TotalTime>
  <ScaleCrop>false</ScaleCrop>
  <LinksUpToDate>false</LinksUpToDate>
  <CharactersWithSpaces>4253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dcterms:modified xsi:type="dcterms:W3CDTF">2024-06-14T08:12:01Z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FD4CC743FB6F4915B7160933D35F830B</vt:lpwstr>
  </property>
</Properties>
</file>